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75" w:after="75"/>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一、项目名称：山东大学（威海）桌面云维保</w:t>
      </w:r>
    </w:p>
    <w:p>
      <w:pPr>
        <w:widowControl/>
        <w:spacing w:before="75" w:after="75"/>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二、项目概况：</w:t>
      </w:r>
    </w:p>
    <w:p>
      <w:pPr>
        <w:widowControl/>
        <w:spacing w:before="75" w:after="75"/>
        <w:ind w:firstLine="480"/>
        <w:rPr>
          <w:rFonts w:ascii="宋体" w:hAnsi="宋体" w:eastAsia="宋体" w:cs="宋体"/>
          <w:color w:val="000000"/>
          <w:kern w:val="0"/>
          <w:sz w:val="24"/>
          <w:szCs w:val="24"/>
        </w:rPr>
      </w:pPr>
      <w:r>
        <w:rPr>
          <w:rFonts w:hint="eastAsia" w:ascii="宋体" w:hAnsi="宋体" w:eastAsia="宋体" w:cs="宋体"/>
          <w:color w:val="000000"/>
          <w:kern w:val="0"/>
          <w:sz w:val="24"/>
          <w:szCs w:val="24"/>
        </w:rPr>
        <w:t>山东大学（威海）在2019年11月完成校区云桌面项目建设并投入使用，其中包含深信服vds桌面云一体机五台以及相应管理软件，其作用是为全校师生打造良好的科研环境，必须具备7*24小时不中断的高可靠性。出现硬件故障，需要及时更换备件。</w:t>
      </w:r>
    </w:p>
    <w:p>
      <w:pPr>
        <w:widowControl/>
        <w:spacing w:before="150" w:after="150"/>
        <w:ind w:firstLine="480"/>
      </w:pPr>
      <w:r>
        <w:rPr>
          <w:rFonts w:hint="eastAsia" w:ascii="宋体" w:hAnsi="宋体" w:eastAsia="宋体" w:cs="宋体"/>
          <w:color w:val="000000"/>
          <w:kern w:val="0"/>
          <w:sz w:val="24"/>
          <w:szCs w:val="24"/>
        </w:rPr>
        <w:t>按照招投标项目的承诺及要求，2019年所采购的所有设备的原厂质保期至2024年12月22日结束，因桌面云不仅承载着学生与教师的日常使用更对学校科研项目起到重要作用，一旦出现故障可能会导致科研项目中断，需要厂家及时提供备件更换及维修，需要购买深信服原厂的维保服务，原厂维保提供核心设备的远程电话支持、故障备件免费更换、备件先行服务。</w:t>
      </w:r>
    </w:p>
    <w:p>
      <w:pPr>
        <w:widowControl/>
        <w:spacing w:before="75" w:after="75"/>
        <w:rPr>
          <w:rFonts w:ascii="宋体" w:hAnsi="宋体" w:eastAsia="宋体" w:cs="宋体"/>
          <w:color w:val="000000"/>
          <w:kern w:val="0"/>
          <w:sz w:val="24"/>
          <w:szCs w:val="24"/>
        </w:rPr>
      </w:pPr>
      <w:r>
        <w:rPr>
          <w:rFonts w:hint="eastAsia" w:ascii="宋体" w:hAnsi="宋体" w:eastAsia="宋体" w:cs="宋体"/>
          <w:color w:val="000000"/>
          <w:kern w:val="0"/>
          <w:sz w:val="24"/>
          <w:szCs w:val="24"/>
        </w:rPr>
        <w:t>三、拟采购内容及地点：</w:t>
      </w:r>
    </w:p>
    <w:p>
      <w:pPr>
        <w:widowControl/>
        <w:spacing w:before="75" w:after="75"/>
        <w:ind w:firstLine="480"/>
        <w:rPr>
          <w:rFonts w:ascii="宋体" w:hAnsi="宋体" w:eastAsia="宋体" w:cs="宋体"/>
          <w:color w:val="000000"/>
          <w:kern w:val="0"/>
          <w:sz w:val="24"/>
          <w:szCs w:val="24"/>
          <w:lang w:val="zh-CN"/>
        </w:rPr>
      </w:pPr>
      <w:r>
        <w:rPr>
          <w:rFonts w:hint="eastAsia" w:ascii="宋体" w:hAnsi="宋体" w:eastAsia="宋体" w:cs="宋体"/>
          <w:color w:val="000000"/>
          <w:kern w:val="0"/>
          <w:sz w:val="24"/>
          <w:szCs w:val="24"/>
        </w:rPr>
        <w:t>本项目涉及设备为深信服等相关产品，详见清单。服务要求内容包括：包括但不限于</w:t>
      </w:r>
      <w:r>
        <w:rPr>
          <w:rFonts w:hint="eastAsia" w:ascii="宋体" w:hAnsi="宋体" w:eastAsia="宋体" w:cs="宋体"/>
          <w:color w:val="000000"/>
          <w:kern w:val="0"/>
          <w:sz w:val="24"/>
          <w:szCs w:val="24"/>
          <w:lang w:val="zh-CN"/>
        </w:rPr>
        <w:t>故障修复、</w:t>
      </w:r>
      <w:r>
        <w:rPr>
          <w:rFonts w:hint="eastAsia" w:ascii="宋体" w:hAnsi="宋体" w:eastAsia="宋体" w:cs="宋体"/>
          <w:color w:val="000000"/>
          <w:kern w:val="0"/>
          <w:sz w:val="24"/>
          <w:szCs w:val="24"/>
        </w:rPr>
        <w:t>7*24技术支持服务</w:t>
      </w:r>
      <w:r>
        <w:rPr>
          <w:rFonts w:hint="eastAsia" w:ascii="宋体" w:hAnsi="宋体" w:eastAsia="宋体" w:cs="宋体"/>
          <w:color w:val="000000"/>
          <w:kern w:val="0"/>
          <w:sz w:val="24"/>
          <w:szCs w:val="24"/>
          <w:lang w:val="zh-CN"/>
        </w:rPr>
        <w:t>、</w:t>
      </w:r>
      <w:r>
        <w:rPr>
          <w:rFonts w:hint="eastAsia" w:ascii="宋体" w:hAnsi="宋体" w:eastAsia="宋体" w:cs="宋体"/>
          <w:color w:val="000000"/>
          <w:kern w:val="0"/>
          <w:sz w:val="24"/>
          <w:szCs w:val="24"/>
        </w:rPr>
        <w:t>备品备件服务</w:t>
      </w:r>
      <w:r>
        <w:rPr>
          <w:rFonts w:hint="eastAsia" w:ascii="宋体" w:hAnsi="宋体" w:eastAsia="宋体" w:cs="宋体"/>
          <w:color w:val="000000"/>
          <w:kern w:val="0"/>
          <w:sz w:val="24"/>
          <w:szCs w:val="24"/>
          <w:lang w:val="zh-CN"/>
        </w:rPr>
        <w:t>、现场</w:t>
      </w:r>
      <w:r>
        <w:rPr>
          <w:rFonts w:hint="eastAsia" w:ascii="宋体" w:hAnsi="宋体" w:eastAsia="宋体" w:cs="宋体"/>
          <w:color w:val="000000"/>
          <w:kern w:val="0"/>
          <w:sz w:val="24"/>
          <w:szCs w:val="24"/>
        </w:rPr>
        <w:t>支持</w:t>
      </w:r>
      <w:r>
        <w:rPr>
          <w:rFonts w:hint="eastAsia" w:ascii="宋体" w:hAnsi="宋体" w:eastAsia="宋体" w:cs="宋体"/>
          <w:color w:val="000000"/>
          <w:kern w:val="0"/>
          <w:sz w:val="24"/>
          <w:szCs w:val="24"/>
          <w:lang w:val="zh-CN"/>
        </w:rPr>
        <w:t>处理服务、</w:t>
      </w:r>
      <w:r>
        <w:rPr>
          <w:rFonts w:hint="eastAsia" w:ascii="宋体" w:hAnsi="宋体" w:eastAsia="宋体" w:cs="宋体"/>
          <w:color w:val="000000"/>
          <w:kern w:val="0"/>
          <w:sz w:val="24"/>
          <w:szCs w:val="24"/>
        </w:rPr>
        <w:t>巡检服务、软件版本更新升级服务、</w:t>
      </w:r>
      <w:r>
        <w:rPr>
          <w:rFonts w:hint="eastAsia" w:ascii="宋体" w:hAnsi="宋体" w:eastAsia="宋体" w:cs="宋体"/>
          <w:color w:val="000000"/>
          <w:kern w:val="0"/>
          <w:sz w:val="24"/>
          <w:szCs w:val="24"/>
          <w:lang w:val="zh-CN"/>
        </w:rPr>
        <w:t>保障</w:t>
      </w:r>
      <w:r>
        <w:rPr>
          <w:rFonts w:hint="eastAsia" w:ascii="宋体" w:hAnsi="宋体" w:eastAsia="宋体" w:cs="宋体"/>
          <w:color w:val="000000"/>
          <w:kern w:val="0"/>
          <w:sz w:val="24"/>
          <w:szCs w:val="24"/>
        </w:rPr>
        <w:t>设备的</w:t>
      </w:r>
      <w:r>
        <w:rPr>
          <w:rFonts w:hint="eastAsia" w:ascii="宋体" w:hAnsi="宋体" w:eastAsia="宋体" w:cs="宋体"/>
          <w:color w:val="000000"/>
          <w:kern w:val="0"/>
          <w:sz w:val="24"/>
          <w:szCs w:val="24"/>
          <w:lang w:val="zh-CN"/>
        </w:rPr>
        <w:t>稳定运行以及高质量</w:t>
      </w:r>
      <w:r>
        <w:rPr>
          <w:rFonts w:hint="eastAsia" w:ascii="宋体" w:hAnsi="宋体" w:eastAsia="宋体" w:cs="宋体"/>
          <w:color w:val="000000"/>
          <w:kern w:val="0"/>
          <w:sz w:val="24"/>
          <w:szCs w:val="24"/>
        </w:rPr>
        <w:t>维保</w:t>
      </w:r>
      <w:r>
        <w:rPr>
          <w:rFonts w:hint="eastAsia" w:ascii="宋体" w:hAnsi="宋体" w:eastAsia="宋体" w:cs="宋体"/>
          <w:color w:val="000000"/>
          <w:kern w:val="0"/>
          <w:sz w:val="24"/>
          <w:szCs w:val="24"/>
          <w:lang w:val="zh-CN"/>
        </w:rPr>
        <w:t>能力。</w:t>
      </w:r>
    </w:p>
    <w:tbl>
      <w:tblPr>
        <w:tblStyle w:val="6"/>
        <w:tblW w:w="8870" w:type="dxa"/>
        <w:tblInd w:w="-169" w:type="dxa"/>
        <w:tblLayout w:type="fixed"/>
        <w:tblCellMar>
          <w:top w:w="0" w:type="dxa"/>
          <w:left w:w="108" w:type="dxa"/>
          <w:bottom w:w="0" w:type="dxa"/>
          <w:right w:w="108" w:type="dxa"/>
        </w:tblCellMar>
      </w:tblPr>
      <w:tblGrid>
        <w:gridCol w:w="740"/>
        <w:gridCol w:w="2060"/>
        <w:gridCol w:w="6070"/>
      </w:tblGrid>
      <w:tr>
        <w:tblPrEx>
          <w:tblCellMar>
            <w:top w:w="0" w:type="dxa"/>
            <w:left w:w="108" w:type="dxa"/>
            <w:bottom w:w="0" w:type="dxa"/>
            <w:right w:w="108" w:type="dxa"/>
          </w:tblCellMar>
        </w:tblPrEx>
        <w:trPr>
          <w:trHeight w:val="575" w:hRule="atLeast"/>
        </w:trPr>
        <w:tc>
          <w:tcPr>
            <w:tcW w:w="740" w:type="dxa"/>
            <w:tcBorders>
              <w:top w:val="single" w:color="auto" w:sz="4" w:space="0"/>
              <w:left w:val="single" w:color="auto" w:sz="4" w:space="0"/>
              <w:bottom w:val="single" w:color="auto" w:sz="4" w:space="0"/>
              <w:right w:val="single" w:color="auto" w:sz="4" w:space="0"/>
            </w:tcBorders>
            <w:shd w:val="clear" w:color="000000" w:fill="auto"/>
            <w:vAlign w:val="center"/>
          </w:tcPr>
          <w:p>
            <w:pPr>
              <w:autoSpaceDE w:val="0"/>
              <w:autoSpaceDN w:val="0"/>
              <w:adjustRightInd w:val="0"/>
              <w:jc w:val="center"/>
              <w:rPr>
                <w:rFonts w:ascii="宋体" w:hAnsi="宋体" w:eastAsia="宋体" w:cs="Times New Roman"/>
                <w:szCs w:val="21"/>
              </w:rPr>
            </w:pPr>
            <w:r>
              <w:rPr>
                <w:rFonts w:hint="eastAsia" w:ascii="宋体" w:hAnsi="宋体" w:eastAsia="宋体" w:cs="Times New Roman"/>
                <w:szCs w:val="21"/>
              </w:rPr>
              <w:t>序号</w:t>
            </w:r>
          </w:p>
        </w:tc>
        <w:tc>
          <w:tcPr>
            <w:tcW w:w="2060" w:type="dxa"/>
            <w:tcBorders>
              <w:top w:val="single" w:color="auto" w:sz="4" w:space="0"/>
              <w:left w:val="single" w:color="auto" w:sz="4" w:space="0"/>
              <w:bottom w:val="single" w:color="auto" w:sz="4" w:space="0"/>
              <w:right w:val="single" w:color="auto" w:sz="4" w:space="0"/>
            </w:tcBorders>
            <w:shd w:val="clear" w:color="000000" w:fill="auto"/>
            <w:vAlign w:val="center"/>
          </w:tcPr>
          <w:p>
            <w:pPr>
              <w:autoSpaceDE w:val="0"/>
              <w:autoSpaceDN w:val="0"/>
              <w:adjustRightInd w:val="0"/>
              <w:jc w:val="center"/>
              <w:rPr>
                <w:rFonts w:ascii="宋体" w:hAnsi="宋体" w:eastAsia="宋体" w:cs="Times New Roman"/>
                <w:szCs w:val="21"/>
              </w:rPr>
            </w:pPr>
            <w:r>
              <w:rPr>
                <w:rFonts w:hint="eastAsia" w:ascii="宋体" w:hAnsi="宋体" w:eastAsia="宋体" w:cs="Times New Roman"/>
                <w:szCs w:val="21"/>
              </w:rPr>
              <w:t>服务内容</w:t>
            </w:r>
          </w:p>
        </w:tc>
        <w:tc>
          <w:tcPr>
            <w:tcW w:w="6070" w:type="dxa"/>
            <w:tcBorders>
              <w:top w:val="single" w:color="auto" w:sz="4" w:space="0"/>
              <w:left w:val="single" w:color="auto" w:sz="4" w:space="0"/>
              <w:bottom w:val="single" w:color="auto" w:sz="4" w:space="0"/>
              <w:right w:val="single" w:color="auto" w:sz="4" w:space="0"/>
            </w:tcBorders>
            <w:shd w:val="clear" w:color="000000" w:fill="auto"/>
            <w:vAlign w:val="center"/>
          </w:tcPr>
          <w:p>
            <w:pPr>
              <w:autoSpaceDE w:val="0"/>
              <w:autoSpaceDN w:val="0"/>
              <w:adjustRightInd w:val="0"/>
              <w:jc w:val="center"/>
              <w:rPr>
                <w:rFonts w:ascii="宋体" w:hAnsi="宋体" w:eastAsia="宋体" w:cs="Times New Roman"/>
                <w:szCs w:val="21"/>
              </w:rPr>
            </w:pPr>
            <w:r>
              <w:rPr>
                <w:rFonts w:hint="eastAsia" w:ascii="宋体" w:hAnsi="宋体" w:eastAsia="宋体" w:cs="Times New Roman"/>
                <w:szCs w:val="21"/>
              </w:rPr>
              <w:t>服务内容描述</w:t>
            </w:r>
          </w:p>
        </w:tc>
      </w:tr>
      <w:tr>
        <w:tblPrEx>
          <w:tblCellMar>
            <w:top w:w="0" w:type="dxa"/>
            <w:left w:w="108" w:type="dxa"/>
            <w:bottom w:w="0" w:type="dxa"/>
            <w:right w:w="108" w:type="dxa"/>
          </w:tblCellMar>
        </w:tblPrEx>
        <w:trPr>
          <w:trHeight w:val="449" w:hRule="atLeast"/>
        </w:trPr>
        <w:tc>
          <w:tcPr>
            <w:tcW w:w="74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eastAsia="宋体" w:cs="Times New Roman"/>
                <w:szCs w:val="21"/>
              </w:rPr>
            </w:pPr>
            <w:r>
              <w:rPr>
                <w:rFonts w:hint="eastAsia" w:ascii="宋体" w:hAnsi="宋体" w:eastAsia="宋体" w:cs="Times New Roman"/>
                <w:szCs w:val="21"/>
              </w:rPr>
              <w:t>1</w:t>
            </w:r>
          </w:p>
        </w:tc>
        <w:tc>
          <w:tcPr>
            <w:tcW w:w="206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rPr>
                <w:rFonts w:ascii="宋体" w:hAnsi="宋体" w:eastAsia="宋体" w:cs="Times New Roman"/>
                <w:szCs w:val="21"/>
              </w:rPr>
            </w:pPr>
            <w:r>
              <w:rPr>
                <w:rFonts w:hint="eastAsia" w:ascii="宋体" w:hAnsi="宋体" w:eastAsia="宋体" w:cs="Times New Roman"/>
                <w:szCs w:val="21"/>
              </w:rPr>
              <w:t>产品质保</w:t>
            </w:r>
            <w:r>
              <w:rPr>
                <w:rFonts w:hint="eastAsia" w:ascii="宋体" w:hAnsi="宋体" w:eastAsia="宋体" w:cs="Times New Roman"/>
                <w:szCs w:val="21"/>
                <w:lang w:val="zh-CN"/>
              </w:rPr>
              <w:t>故障修复</w:t>
            </w:r>
          </w:p>
        </w:tc>
        <w:tc>
          <w:tcPr>
            <w:tcW w:w="607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rPr>
                <w:rFonts w:ascii="宋体" w:hAnsi="宋体" w:eastAsia="宋体" w:cs="Times New Roman"/>
                <w:szCs w:val="21"/>
              </w:rPr>
            </w:pPr>
            <w:r>
              <w:rPr>
                <w:rFonts w:hint="eastAsia" w:ascii="宋体" w:hAnsi="宋体" w:eastAsia="宋体" w:cs="Times New Roman"/>
                <w:szCs w:val="21"/>
              </w:rPr>
              <w:t>硬件保修，设备故障两小时内进行响应处理，</w:t>
            </w:r>
            <w:r>
              <w:rPr>
                <w:rFonts w:ascii="宋体" w:hAnsi="宋体" w:eastAsia="宋体" w:cs="Times New Roman"/>
                <w:szCs w:val="21"/>
              </w:rPr>
              <w:t>2</w:t>
            </w:r>
            <w:r>
              <w:rPr>
                <w:rFonts w:hint="eastAsia" w:ascii="宋体" w:hAnsi="宋体" w:eastAsia="宋体" w:cs="Times New Roman"/>
                <w:szCs w:val="21"/>
              </w:rPr>
              <w:t>个工作日内维修硬件设备或部件返还。</w:t>
            </w:r>
          </w:p>
        </w:tc>
      </w:tr>
      <w:tr>
        <w:tblPrEx>
          <w:tblCellMar>
            <w:top w:w="0" w:type="dxa"/>
            <w:left w:w="108" w:type="dxa"/>
            <w:bottom w:w="0" w:type="dxa"/>
            <w:right w:w="108" w:type="dxa"/>
          </w:tblCellMar>
        </w:tblPrEx>
        <w:trPr>
          <w:trHeight w:val="530" w:hRule="atLeast"/>
        </w:trPr>
        <w:tc>
          <w:tcPr>
            <w:tcW w:w="74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eastAsia="宋体" w:cs="Times New Roman"/>
                <w:szCs w:val="21"/>
              </w:rPr>
            </w:pPr>
            <w:r>
              <w:rPr>
                <w:rFonts w:hint="eastAsia" w:ascii="宋体" w:hAnsi="宋体" w:eastAsia="宋体" w:cs="Times New Roman"/>
                <w:szCs w:val="21"/>
              </w:rPr>
              <w:t>2</w:t>
            </w:r>
          </w:p>
        </w:tc>
        <w:tc>
          <w:tcPr>
            <w:tcW w:w="206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rPr>
                <w:rFonts w:ascii="宋体" w:hAnsi="宋体" w:eastAsia="宋体" w:cs="Times New Roman"/>
                <w:szCs w:val="21"/>
              </w:rPr>
            </w:pPr>
            <w:r>
              <w:rPr>
                <w:rFonts w:hint="eastAsia" w:ascii="宋体" w:hAnsi="宋体" w:eastAsia="宋体" w:cs="Times New Roman"/>
                <w:szCs w:val="21"/>
              </w:rPr>
              <w:t>7*24技术支持服务</w:t>
            </w:r>
          </w:p>
        </w:tc>
        <w:tc>
          <w:tcPr>
            <w:tcW w:w="607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rPr>
                <w:rFonts w:ascii="宋体" w:hAnsi="宋体" w:eastAsia="宋体" w:cs="Times New Roman"/>
                <w:szCs w:val="21"/>
              </w:rPr>
            </w:pPr>
            <w:r>
              <w:rPr>
                <w:rFonts w:hint="eastAsia" w:ascii="宋体" w:hAnsi="宋体" w:eastAsia="宋体" w:cs="Times New Roman"/>
                <w:szCs w:val="21"/>
              </w:rPr>
              <w:t>7x24小时的电话和远程调试服务，确保技术问题能获得原厂技术专家直接的处理和跟踪，直至最终解决。</w:t>
            </w:r>
          </w:p>
        </w:tc>
      </w:tr>
      <w:tr>
        <w:tblPrEx>
          <w:tblCellMar>
            <w:top w:w="0" w:type="dxa"/>
            <w:left w:w="108" w:type="dxa"/>
            <w:bottom w:w="0" w:type="dxa"/>
            <w:right w:w="108" w:type="dxa"/>
          </w:tblCellMar>
        </w:tblPrEx>
        <w:trPr>
          <w:trHeight w:val="440" w:hRule="atLeast"/>
        </w:trPr>
        <w:tc>
          <w:tcPr>
            <w:tcW w:w="74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eastAsia="宋体" w:cs="Times New Roman"/>
                <w:szCs w:val="21"/>
              </w:rPr>
            </w:pPr>
            <w:r>
              <w:rPr>
                <w:rFonts w:hint="eastAsia" w:ascii="宋体" w:hAnsi="宋体" w:eastAsia="宋体" w:cs="Times New Roman"/>
                <w:szCs w:val="21"/>
              </w:rPr>
              <w:t>3</w:t>
            </w:r>
          </w:p>
        </w:tc>
        <w:tc>
          <w:tcPr>
            <w:tcW w:w="206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rPr>
                <w:rFonts w:ascii="宋体" w:hAnsi="宋体" w:eastAsia="宋体" w:cs="Times New Roman"/>
                <w:szCs w:val="21"/>
              </w:rPr>
            </w:pPr>
            <w:r>
              <w:rPr>
                <w:rFonts w:hint="eastAsia" w:ascii="宋体" w:hAnsi="宋体" w:eastAsia="宋体" w:cs="Times New Roman"/>
                <w:szCs w:val="21"/>
              </w:rPr>
              <w:t>备品备件服务</w:t>
            </w:r>
          </w:p>
        </w:tc>
        <w:tc>
          <w:tcPr>
            <w:tcW w:w="607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rPr>
                <w:rFonts w:ascii="宋体" w:hAnsi="宋体" w:eastAsia="宋体" w:cs="Times New Roman"/>
                <w:szCs w:val="21"/>
              </w:rPr>
            </w:pPr>
            <w:r>
              <w:rPr>
                <w:rFonts w:hint="eastAsia" w:ascii="宋体" w:hAnsi="宋体" w:eastAsia="宋体" w:cs="Times New Roman"/>
                <w:szCs w:val="21"/>
              </w:rPr>
              <w:t>设备故障时，提供不低于原使用产品型号的备机进行替换保障。</w:t>
            </w:r>
          </w:p>
        </w:tc>
      </w:tr>
      <w:tr>
        <w:tblPrEx>
          <w:tblCellMar>
            <w:top w:w="0" w:type="dxa"/>
            <w:left w:w="108" w:type="dxa"/>
            <w:bottom w:w="0" w:type="dxa"/>
            <w:right w:w="108" w:type="dxa"/>
          </w:tblCellMar>
        </w:tblPrEx>
        <w:trPr>
          <w:trHeight w:val="521" w:hRule="atLeast"/>
        </w:trPr>
        <w:tc>
          <w:tcPr>
            <w:tcW w:w="74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eastAsia="宋体" w:cs="Times New Roman"/>
                <w:szCs w:val="21"/>
              </w:rPr>
            </w:pPr>
            <w:r>
              <w:rPr>
                <w:rFonts w:hint="eastAsia" w:ascii="宋体" w:hAnsi="宋体" w:eastAsia="宋体" w:cs="Times New Roman"/>
                <w:szCs w:val="21"/>
              </w:rPr>
              <w:t>4</w:t>
            </w:r>
          </w:p>
        </w:tc>
        <w:tc>
          <w:tcPr>
            <w:tcW w:w="206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rPr>
                <w:rFonts w:ascii="宋体" w:hAnsi="宋体" w:eastAsia="宋体" w:cs="Times New Roman"/>
                <w:szCs w:val="21"/>
              </w:rPr>
            </w:pPr>
            <w:r>
              <w:rPr>
                <w:rFonts w:hint="eastAsia" w:ascii="宋体" w:hAnsi="宋体" w:eastAsia="宋体" w:cs="Times New Roman"/>
                <w:szCs w:val="21"/>
                <w:lang w:val="zh-CN"/>
              </w:rPr>
              <w:t>现场</w:t>
            </w:r>
            <w:r>
              <w:rPr>
                <w:rFonts w:hint="eastAsia" w:ascii="宋体" w:hAnsi="宋体" w:eastAsia="宋体" w:cs="Times New Roman"/>
                <w:szCs w:val="21"/>
              </w:rPr>
              <w:t>支持</w:t>
            </w:r>
            <w:r>
              <w:rPr>
                <w:rFonts w:hint="eastAsia" w:ascii="宋体" w:hAnsi="宋体" w:eastAsia="宋体" w:cs="Times New Roman"/>
                <w:szCs w:val="21"/>
                <w:lang w:val="zh-CN"/>
              </w:rPr>
              <w:t>处理服务</w:t>
            </w:r>
          </w:p>
        </w:tc>
        <w:tc>
          <w:tcPr>
            <w:tcW w:w="607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rPr>
                <w:rFonts w:ascii="宋体" w:hAnsi="宋体" w:eastAsia="宋体" w:cs="Times New Roman"/>
                <w:szCs w:val="21"/>
              </w:rPr>
            </w:pPr>
            <w:r>
              <w:rPr>
                <w:rFonts w:hint="eastAsia" w:ascii="宋体" w:hAnsi="宋体" w:eastAsia="宋体" w:cs="Times New Roman"/>
                <w:szCs w:val="21"/>
              </w:rPr>
              <w:t>7×24×下一日到达现场，提供现场产品技术使用支持、问题处理服务。</w:t>
            </w:r>
          </w:p>
        </w:tc>
      </w:tr>
      <w:tr>
        <w:tblPrEx>
          <w:tblCellMar>
            <w:top w:w="0" w:type="dxa"/>
            <w:left w:w="108" w:type="dxa"/>
            <w:bottom w:w="0" w:type="dxa"/>
            <w:right w:w="108" w:type="dxa"/>
          </w:tblCellMar>
        </w:tblPrEx>
        <w:trPr>
          <w:trHeight w:val="521" w:hRule="atLeast"/>
        </w:trPr>
        <w:tc>
          <w:tcPr>
            <w:tcW w:w="74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eastAsia="宋体" w:cs="Times New Roman"/>
                <w:szCs w:val="21"/>
              </w:rPr>
            </w:pPr>
            <w:r>
              <w:rPr>
                <w:rFonts w:hint="eastAsia" w:ascii="宋体" w:hAnsi="宋体" w:eastAsia="宋体" w:cs="Times New Roman"/>
                <w:szCs w:val="21"/>
              </w:rPr>
              <w:t>5</w:t>
            </w:r>
          </w:p>
        </w:tc>
        <w:tc>
          <w:tcPr>
            <w:tcW w:w="206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rPr>
                <w:rFonts w:ascii="宋体" w:hAnsi="宋体" w:eastAsia="宋体" w:cs="Times New Roman"/>
                <w:szCs w:val="21"/>
              </w:rPr>
            </w:pPr>
            <w:r>
              <w:rPr>
                <w:rFonts w:hint="eastAsia" w:ascii="宋体" w:hAnsi="宋体" w:eastAsia="宋体" w:cs="Times New Roman"/>
                <w:szCs w:val="21"/>
              </w:rPr>
              <w:t>巡检服务</w:t>
            </w:r>
          </w:p>
        </w:tc>
        <w:tc>
          <w:tcPr>
            <w:tcW w:w="607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rPr>
                <w:rFonts w:ascii="宋体" w:hAnsi="宋体" w:eastAsia="宋体" w:cs="Times New Roman"/>
                <w:szCs w:val="21"/>
              </w:rPr>
            </w:pPr>
            <w:r>
              <w:rPr>
                <w:rFonts w:hint="eastAsia" w:ascii="宋体" w:hAnsi="宋体" w:eastAsia="宋体" w:cs="Times New Roman"/>
                <w:szCs w:val="21"/>
              </w:rPr>
              <w:t>专业技术人员对客户产品功能及引用环境进行全面的检测分析后给出后期产品稳定性及应用功能优化建议报告。每季度一次。</w:t>
            </w:r>
          </w:p>
        </w:tc>
      </w:tr>
      <w:tr>
        <w:tblPrEx>
          <w:tblCellMar>
            <w:top w:w="0" w:type="dxa"/>
            <w:left w:w="108" w:type="dxa"/>
            <w:bottom w:w="0" w:type="dxa"/>
            <w:right w:w="108" w:type="dxa"/>
          </w:tblCellMar>
        </w:tblPrEx>
        <w:trPr>
          <w:trHeight w:val="521" w:hRule="atLeast"/>
        </w:trPr>
        <w:tc>
          <w:tcPr>
            <w:tcW w:w="74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eastAsia="宋体" w:cs="Times New Roman"/>
                <w:szCs w:val="21"/>
              </w:rPr>
            </w:pPr>
            <w:r>
              <w:rPr>
                <w:rFonts w:hint="eastAsia" w:ascii="宋体" w:hAnsi="宋体" w:eastAsia="宋体" w:cs="Times New Roman"/>
                <w:szCs w:val="21"/>
              </w:rPr>
              <w:t>6</w:t>
            </w:r>
          </w:p>
        </w:tc>
        <w:tc>
          <w:tcPr>
            <w:tcW w:w="206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rPr>
                <w:rFonts w:ascii="宋体" w:hAnsi="宋体" w:eastAsia="宋体" w:cs="Times New Roman"/>
                <w:szCs w:val="21"/>
              </w:rPr>
            </w:pPr>
            <w:r>
              <w:rPr>
                <w:rFonts w:hint="eastAsia" w:ascii="宋体" w:hAnsi="宋体" w:eastAsia="宋体" w:cs="Times New Roman"/>
                <w:szCs w:val="21"/>
              </w:rPr>
              <w:t>软件版本更新升级服务</w:t>
            </w:r>
          </w:p>
        </w:tc>
        <w:tc>
          <w:tcPr>
            <w:tcW w:w="607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rPr>
                <w:rFonts w:ascii="宋体" w:hAnsi="宋体" w:eastAsia="宋体" w:cs="Times New Roman"/>
                <w:szCs w:val="21"/>
              </w:rPr>
            </w:pPr>
            <w:r>
              <w:rPr>
                <w:rFonts w:hint="eastAsia" w:ascii="宋体" w:hAnsi="宋体" w:eastAsia="宋体" w:cs="Times New Roman"/>
                <w:szCs w:val="21"/>
              </w:rPr>
              <w:t>提供硬件设备同等功能软件版本更新、升级，以及该软件版本配套的文档资料、用户手册。升级后用户将享有新版本软件的使用权利。</w:t>
            </w:r>
          </w:p>
        </w:tc>
      </w:tr>
      <w:tr>
        <w:tblPrEx>
          <w:tblCellMar>
            <w:top w:w="0" w:type="dxa"/>
            <w:left w:w="108" w:type="dxa"/>
            <w:bottom w:w="0" w:type="dxa"/>
            <w:right w:w="108" w:type="dxa"/>
          </w:tblCellMar>
        </w:tblPrEx>
        <w:trPr>
          <w:trHeight w:val="440" w:hRule="atLeast"/>
        </w:trPr>
        <w:tc>
          <w:tcPr>
            <w:tcW w:w="74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eastAsia="宋体" w:cs="Times New Roman"/>
                <w:szCs w:val="21"/>
              </w:rPr>
            </w:pPr>
            <w:r>
              <w:rPr>
                <w:rFonts w:hint="eastAsia" w:ascii="宋体" w:hAnsi="宋体" w:eastAsia="宋体" w:cs="Times New Roman"/>
                <w:szCs w:val="21"/>
              </w:rPr>
              <w:t>7</w:t>
            </w:r>
          </w:p>
        </w:tc>
        <w:tc>
          <w:tcPr>
            <w:tcW w:w="206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rPr>
                <w:rFonts w:ascii="宋体" w:hAnsi="宋体" w:eastAsia="宋体" w:cs="Times New Roman"/>
                <w:szCs w:val="21"/>
              </w:rPr>
            </w:pPr>
            <w:r>
              <w:rPr>
                <w:rFonts w:hint="eastAsia" w:ascii="宋体" w:hAnsi="宋体" w:eastAsia="宋体" w:cs="Times New Roman"/>
                <w:szCs w:val="21"/>
              </w:rPr>
              <w:t>其他技术支持服务</w:t>
            </w:r>
          </w:p>
        </w:tc>
        <w:tc>
          <w:tcPr>
            <w:tcW w:w="607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rPr>
                <w:rFonts w:ascii="宋体" w:hAnsi="宋体" w:eastAsia="宋体" w:cs="Times New Roman"/>
                <w:szCs w:val="21"/>
              </w:rPr>
            </w:pPr>
            <w:r>
              <w:rPr>
                <w:rFonts w:hint="eastAsia" w:ascii="宋体" w:hAnsi="宋体" w:eastAsia="宋体" w:cs="Times New Roman"/>
                <w:szCs w:val="21"/>
              </w:rPr>
              <w:t>按需提供技术支持</w:t>
            </w:r>
          </w:p>
        </w:tc>
      </w:tr>
    </w:tbl>
    <w:p>
      <w:pPr>
        <w:pStyle w:val="2"/>
        <w:ind w:firstLine="0"/>
        <w:rPr>
          <w:rFonts w:ascii="宋体" w:hAnsi="宋体" w:eastAsia="宋体" w:cs="宋体"/>
          <w:color w:val="000000"/>
          <w:kern w:val="0"/>
          <w:sz w:val="24"/>
          <w:szCs w:val="24"/>
          <w:u w:val="none"/>
        </w:rPr>
      </w:pPr>
    </w:p>
    <w:p>
      <w:pPr>
        <w:pStyle w:val="2"/>
        <w:rPr>
          <w:rFonts w:ascii="宋体" w:hAnsi="宋体" w:eastAsia="宋体" w:cs="宋体"/>
          <w:color w:val="000000"/>
          <w:kern w:val="0"/>
          <w:sz w:val="24"/>
          <w:szCs w:val="24"/>
          <w:u w:val="none"/>
        </w:rPr>
      </w:pPr>
      <w:r>
        <w:rPr>
          <w:rFonts w:hint="eastAsia" w:ascii="宋体" w:hAnsi="宋体" w:eastAsia="宋体" w:cs="宋体"/>
          <w:color w:val="000000"/>
          <w:kern w:val="0"/>
          <w:sz w:val="24"/>
          <w:szCs w:val="24"/>
          <w:u w:val="none"/>
        </w:rPr>
        <w:t>上门巡检服务：原厂专业技术人员对客户产品功能及引用环境进行全面的检测分析后给出后期产品稳定性及应用功能优化建议报告。</w:t>
      </w:r>
    </w:p>
    <w:p>
      <w:pPr>
        <w:pStyle w:val="2"/>
        <w:rPr>
          <w:rFonts w:ascii="宋体" w:hAnsi="宋体" w:eastAsia="宋体" w:cs="宋体"/>
          <w:color w:val="000000"/>
          <w:kern w:val="0"/>
          <w:sz w:val="24"/>
          <w:szCs w:val="24"/>
          <w:u w:val="none"/>
        </w:rPr>
      </w:pPr>
      <w:bookmarkStart w:id="0" w:name="_Toc14607"/>
      <w:bookmarkStart w:id="1" w:name="_Toc13236_WPSOffice_Level2"/>
      <w:r>
        <w:rPr>
          <w:rFonts w:hint="eastAsia" w:ascii="宋体" w:hAnsi="宋体" w:eastAsia="宋体" w:cs="宋体"/>
          <w:color w:val="000000"/>
          <w:kern w:val="0"/>
          <w:sz w:val="24"/>
          <w:szCs w:val="24"/>
          <w:u w:val="none"/>
        </w:rPr>
        <w:t>软件版本更新升级服务</w:t>
      </w:r>
      <w:bookmarkEnd w:id="0"/>
      <w:bookmarkEnd w:id="1"/>
      <w:r>
        <w:rPr>
          <w:rFonts w:hint="eastAsia" w:ascii="宋体" w:hAnsi="宋体" w:eastAsia="宋体" w:cs="宋体"/>
          <w:color w:val="000000"/>
          <w:kern w:val="0"/>
          <w:sz w:val="24"/>
          <w:szCs w:val="24"/>
          <w:u w:val="none"/>
        </w:rPr>
        <w:t>：为确保硬件设备正常运转提供最稳定、可靠的软件环境。应对网络环境不断的变化与提升，不断的对硬件设备的性能、优化提出挑战和考验。产品不断推出新的软件版本和优化方案，对以前各个版本中发现的问题进行修复，并持续对当前主流版本做优化，确保提供最优的使用体验；在所有正式发布的各个软件版本及补丁、升级包中，提供及时的升级或者更新，从而确保业务系统的最佳稳定性。</w:t>
      </w:r>
    </w:p>
    <w:p>
      <w:pPr>
        <w:pStyle w:val="2"/>
        <w:rPr>
          <w:rFonts w:ascii="宋体" w:hAnsi="宋体" w:eastAsia="宋体" w:cs="宋体"/>
          <w:color w:val="000000"/>
          <w:kern w:val="0"/>
          <w:sz w:val="24"/>
          <w:szCs w:val="24"/>
          <w:u w:val="none"/>
        </w:rPr>
      </w:pPr>
      <w:bookmarkStart w:id="2" w:name="_Toc31656_WPSOffice_Level2"/>
      <w:bookmarkStart w:id="3" w:name="_Toc10598"/>
      <w:r>
        <w:rPr>
          <w:rFonts w:hint="eastAsia" w:ascii="宋体" w:hAnsi="宋体" w:eastAsia="宋体" w:cs="宋体"/>
          <w:color w:val="000000"/>
          <w:kern w:val="0"/>
          <w:sz w:val="24"/>
          <w:szCs w:val="24"/>
          <w:u w:val="none"/>
        </w:rPr>
        <w:t>备品备件服务</w:t>
      </w:r>
      <w:bookmarkEnd w:id="2"/>
      <w:bookmarkEnd w:id="3"/>
      <w:r>
        <w:rPr>
          <w:rFonts w:hint="eastAsia" w:ascii="宋体" w:hAnsi="宋体" w:eastAsia="宋体" w:cs="宋体"/>
          <w:color w:val="000000"/>
          <w:kern w:val="0"/>
          <w:sz w:val="24"/>
          <w:szCs w:val="24"/>
          <w:u w:val="none"/>
        </w:rPr>
        <w:t>：旨在满足紧急要求，提高响应速度，提供更快速服务。更换件可以是新件或者是同等类型和功能的好件（如该型号产品已停止生产且库存备件耗尽，可以提供不低于原件性能的其它型号设备或单板进行更换）。</w:t>
      </w:r>
      <w:bookmarkStart w:id="4" w:name="_Toc243986886"/>
    </w:p>
    <w:bookmarkEnd w:id="4"/>
    <w:p>
      <w:pPr>
        <w:pStyle w:val="2"/>
        <w:rPr>
          <w:rFonts w:ascii="宋体" w:hAnsi="宋体" w:eastAsia="宋体" w:cs="宋体"/>
          <w:color w:val="000000"/>
          <w:kern w:val="0"/>
          <w:sz w:val="24"/>
          <w:szCs w:val="24"/>
        </w:rPr>
      </w:pPr>
      <w:bookmarkStart w:id="5" w:name="_Toc15821"/>
      <w:bookmarkStart w:id="6" w:name="_Toc8498_WPSOffice_Level2"/>
      <w:r>
        <w:rPr>
          <w:rFonts w:hint="eastAsia" w:ascii="宋体" w:hAnsi="宋体" w:eastAsia="宋体" w:cs="宋体"/>
          <w:color w:val="000000"/>
          <w:kern w:val="0"/>
          <w:sz w:val="24"/>
          <w:szCs w:val="24"/>
          <w:u w:val="none"/>
        </w:rPr>
        <w:t>重大节日现场上门支持处理服务</w:t>
      </w:r>
      <w:bookmarkEnd w:id="5"/>
      <w:bookmarkEnd w:id="6"/>
      <w:r>
        <w:rPr>
          <w:rFonts w:hint="eastAsia" w:ascii="宋体" w:hAnsi="宋体" w:eastAsia="宋体" w:cs="宋体"/>
          <w:color w:val="000000"/>
          <w:kern w:val="0"/>
          <w:sz w:val="24"/>
          <w:szCs w:val="24"/>
          <w:u w:val="none"/>
        </w:rPr>
        <w:t>：含现场问题处理服务，如果遇到通过远程技术支持不能有效解决的设备问题，安排经验丰富的技术支持工程师在服务协议规定时间内赴客户现场，协助客户进行现场故障诊断、制定故障恢复方案并现场排除故障。可以让原厂技术专家到现场面对面的技术交流协助。根据需要，随时申请的技术专家到现场进行系统安装、调试和问题排查、使用方案优化等工作，现场解决技术问题，并改善业务系统的运行情况。</w:t>
      </w:r>
    </w:p>
    <w:p>
      <w:pPr>
        <w:widowControl/>
        <w:spacing w:before="75" w:after="75"/>
        <w:ind w:firstLine="480"/>
        <w:rPr>
          <w:rFonts w:ascii="宋体" w:hAnsi="宋体" w:eastAsia="宋体" w:cs="宋体"/>
          <w:color w:val="000000"/>
          <w:kern w:val="0"/>
          <w:sz w:val="24"/>
          <w:szCs w:val="24"/>
        </w:rPr>
      </w:pPr>
      <w:r>
        <w:rPr>
          <w:rFonts w:hint="eastAsia" w:ascii="宋体" w:hAnsi="宋体" w:eastAsia="宋体" w:cs="宋体"/>
          <w:color w:val="000000"/>
          <w:kern w:val="0"/>
          <w:sz w:val="24"/>
          <w:szCs w:val="24"/>
        </w:rPr>
        <w:t>服务地点：山东大学（威海）。</w:t>
      </w:r>
    </w:p>
    <w:p>
      <w:pPr>
        <w:widowControl/>
        <w:spacing w:before="75" w:after="75"/>
        <w:ind w:firstLine="480"/>
        <w:rPr>
          <w:rFonts w:ascii="宋体" w:hAnsi="宋体" w:eastAsia="宋体" w:cs="宋体"/>
          <w:color w:val="000000"/>
          <w:kern w:val="0"/>
          <w:sz w:val="24"/>
          <w:szCs w:val="24"/>
        </w:rPr>
      </w:pPr>
      <w:r>
        <w:rPr>
          <w:rFonts w:hint="eastAsia" w:ascii="宋体" w:hAnsi="宋体" w:eastAsia="宋体" w:cs="宋体"/>
          <w:color w:val="000000"/>
          <w:kern w:val="0"/>
          <w:sz w:val="24"/>
          <w:szCs w:val="24"/>
        </w:rPr>
        <w:t>服务期限：2024年12月22日至2026年6月22日（共计十八个月）</w:t>
      </w:r>
    </w:p>
    <w:tbl>
      <w:tblPr>
        <w:tblStyle w:val="6"/>
        <w:tblW w:w="7800" w:type="dxa"/>
        <w:tblInd w:w="2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550"/>
        <w:gridCol w:w="5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 w:hRule="atLeast"/>
        </w:trPr>
        <w:tc>
          <w:tcPr>
            <w:tcW w:w="2550" w:type="dxa"/>
            <w:tcMar>
              <w:top w:w="15" w:type="dxa"/>
              <w:left w:w="15" w:type="dxa"/>
              <w:bottom w:w="0" w:type="dxa"/>
              <w:right w:w="15" w:type="dxa"/>
            </w:tcMar>
            <w:vAlign w:val="center"/>
          </w:tcPr>
          <w:p>
            <w:pPr>
              <w:widowControl/>
              <w:textAlignment w:val="top"/>
              <w:rPr>
                <w:rFonts w:ascii="宋体" w:hAnsi="宋体" w:eastAsia="宋体" w:cs="宋体"/>
                <w:color w:val="000000"/>
                <w:kern w:val="0"/>
                <w:sz w:val="24"/>
                <w:szCs w:val="24"/>
              </w:rPr>
            </w:pPr>
            <w:r>
              <w:rPr>
                <w:rFonts w:hint="eastAsia" w:ascii="宋体" w:hAnsi="宋体" w:eastAsia="宋体" w:cs="宋体"/>
                <w:color w:val="000000"/>
                <w:kern w:val="0"/>
                <w:sz w:val="24"/>
                <w:szCs w:val="24"/>
              </w:rPr>
              <w:t>名称</w:t>
            </w:r>
          </w:p>
        </w:tc>
        <w:tc>
          <w:tcPr>
            <w:tcW w:w="5250" w:type="dxa"/>
            <w:tcMar>
              <w:top w:w="15" w:type="dxa"/>
              <w:left w:w="15" w:type="dxa"/>
              <w:bottom w:w="0" w:type="dxa"/>
              <w:right w:w="15" w:type="dxa"/>
            </w:tcMar>
            <w:vAlign w:val="center"/>
          </w:tcPr>
          <w:p>
            <w:pPr>
              <w:widowControl/>
              <w:textAlignment w:val="top"/>
              <w:rPr>
                <w:rFonts w:ascii="宋体" w:hAnsi="宋体" w:eastAsia="宋体" w:cs="宋体"/>
                <w:color w:val="000000"/>
                <w:kern w:val="0"/>
                <w:sz w:val="24"/>
                <w:szCs w:val="24"/>
              </w:rPr>
            </w:pPr>
            <w:r>
              <w:rPr>
                <w:rFonts w:hint="eastAsia" w:ascii="宋体" w:hAnsi="宋体" w:eastAsia="宋体" w:cs="宋体"/>
                <w:color w:val="000000"/>
                <w:kern w:val="0"/>
                <w:sz w:val="24"/>
                <w:szCs w:val="24"/>
              </w:rPr>
              <w:t>维保设备配置及主要参数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8" w:hRule="atLeast"/>
        </w:trPr>
        <w:tc>
          <w:tcPr>
            <w:tcW w:w="2550" w:type="dxa"/>
            <w:tcMar>
              <w:top w:w="15" w:type="dxa"/>
              <w:left w:w="15" w:type="dxa"/>
              <w:bottom w:w="0" w:type="dxa"/>
              <w:right w:w="15" w:type="dxa"/>
            </w:tcMar>
            <w:vAlign w:val="center"/>
          </w:tcPr>
          <w:p>
            <w:pPr>
              <w:widowControl/>
              <w:textAlignment w:val="top"/>
              <w:rPr>
                <w:rFonts w:ascii="宋体" w:hAnsi="宋体" w:eastAsia="宋体" w:cs="宋体"/>
                <w:color w:val="000000"/>
                <w:kern w:val="0"/>
                <w:sz w:val="24"/>
                <w:szCs w:val="24"/>
              </w:rPr>
            </w:pPr>
            <w:r>
              <w:rPr>
                <w:rFonts w:hint="eastAsia" w:ascii="宋体" w:hAnsi="宋体" w:eastAsia="宋体" w:cs="宋体"/>
                <w:color w:val="000000"/>
                <w:kern w:val="0"/>
                <w:sz w:val="24"/>
                <w:szCs w:val="24"/>
              </w:rPr>
              <w:t>深信服桌面云一体机设备VDS-P-G530/VDS-P-7550维保</w:t>
            </w:r>
          </w:p>
        </w:tc>
        <w:tc>
          <w:tcPr>
            <w:tcW w:w="5250" w:type="dxa"/>
            <w:tcMar>
              <w:top w:w="15" w:type="dxa"/>
              <w:left w:w="15" w:type="dxa"/>
              <w:bottom w:w="0" w:type="dxa"/>
              <w:right w:w="15" w:type="dxa"/>
            </w:tcMar>
            <w:vAlign w:val="center"/>
          </w:tcPr>
          <w:p>
            <w:pPr>
              <w:widowControl/>
              <w:textAlignment w:val="top"/>
              <w:rPr>
                <w:rFonts w:ascii="宋体" w:hAnsi="宋体" w:eastAsia="宋体" w:cs="宋体"/>
                <w:color w:val="000000"/>
                <w:kern w:val="0"/>
                <w:sz w:val="24"/>
                <w:szCs w:val="24"/>
              </w:rPr>
            </w:pPr>
            <w:r>
              <w:rPr>
                <w:rFonts w:hint="eastAsia" w:ascii="宋体" w:hAnsi="宋体" w:eastAsia="宋体" w:cs="宋体"/>
                <w:color w:val="000000"/>
                <w:kern w:val="0"/>
                <w:sz w:val="24"/>
                <w:szCs w:val="24"/>
              </w:rPr>
              <w:t>深信服深信服桌面云一体机设备VDS-P-G530/VDS-P-7550共计二十五台设备维保；提供至2026年6月22日续保服务，要求原厂续保服务，投标时提供加盖厂家公章的针对本项目服务承诺函以及深信服原厂授权函。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5" w:hRule="atLeast"/>
        </w:trPr>
        <w:tc>
          <w:tcPr>
            <w:tcW w:w="2550" w:type="dxa"/>
            <w:tcMar>
              <w:top w:w="15" w:type="dxa"/>
              <w:left w:w="15" w:type="dxa"/>
              <w:bottom w:w="0" w:type="dxa"/>
              <w:right w:w="15" w:type="dxa"/>
            </w:tcMar>
            <w:vAlign w:val="center"/>
          </w:tcPr>
          <w:p>
            <w:pPr>
              <w:widowControl/>
              <w:textAlignment w:val="top"/>
              <w:rPr>
                <w:rFonts w:ascii="宋体" w:hAnsi="宋体" w:eastAsia="宋体" w:cs="宋体"/>
                <w:color w:val="000000"/>
                <w:kern w:val="0"/>
                <w:sz w:val="24"/>
                <w:szCs w:val="24"/>
              </w:rPr>
            </w:pPr>
            <w:r>
              <w:rPr>
                <w:rFonts w:hint="eastAsia" w:ascii="宋体" w:hAnsi="宋体" w:eastAsia="宋体" w:cs="宋体"/>
                <w:color w:val="000000"/>
                <w:kern w:val="0"/>
                <w:sz w:val="24"/>
                <w:szCs w:val="24"/>
              </w:rPr>
              <w:t>深信服桌面云VDI铂金版授权产品维保</w:t>
            </w:r>
          </w:p>
        </w:tc>
        <w:tc>
          <w:tcPr>
            <w:tcW w:w="5250" w:type="dxa"/>
            <w:tcMar>
              <w:top w:w="15" w:type="dxa"/>
              <w:left w:w="15" w:type="dxa"/>
              <w:bottom w:w="0" w:type="dxa"/>
              <w:right w:w="15" w:type="dxa"/>
            </w:tcMar>
            <w:vAlign w:val="center"/>
          </w:tcPr>
          <w:p>
            <w:pPr>
              <w:widowControl/>
              <w:textAlignment w:val="top"/>
              <w:rPr>
                <w:rFonts w:ascii="宋体" w:hAnsi="宋体" w:eastAsia="宋体" w:cs="宋体"/>
                <w:color w:val="000000"/>
                <w:kern w:val="0"/>
                <w:sz w:val="24"/>
                <w:szCs w:val="24"/>
              </w:rPr>
            </w:pPr>
            <w:r>
              <w:rPr>
                <w:rFonts w:hint="eastAsia" w:ascii="宋体" w:hAnsi="宋体" w:eastAsia="宋体" w:cs="宋体"/>
                <w:color w:val="000000"/>
                <w:kern w:val="0"/>
                <w:sz w:val="24"/>
                <w:szCs w:val="24"/>
              </w:rPr>
              <w:t>深信服桌面云VDI铂金版授权产品维保；提供至2026年6月22日续保服务，要求原厂续保服务，投标时提供加盖厂家公章的针对本项目服务承诺函以及深信服原厂投标授权函。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5" w:hRule="atLeast"/>
        </w:trPr>
        <w:tc>
          <w:tcPr>
            <w:tcW w:w="2550" w:type="dxa"/>
            <w:tcMar>
              <w:top w:w="15" w:type="dxa"/>
              <w:left w:w="15" w:type="dxa"/>
              <w:bottom w:w="0" w:type="dxa"/>
              <w:right w:w="15" w:type="dxa"/>
            </w:tcMar>
            <w:vAlign w:val="center"/>
          </w:tcPr>
          <w:p>
            <w:pPr>
              <w:widowControl/>
              <w:textAlignment w:val="top"/>
              <w:rPr>
                <w:rFonts w:ascii="宋体" w:hAnsi="宋体" w:eastAsia="宋体" w:cs="宋体"/>
                <w:color w:val="000000"/>
                <w:kern w:val="0"/>
                <w:sz w:val="24"/>
                <w:szCs w:val="24"/>
              </w:rPr>
            </w:pPr>
            <w:r>
              <w:rPr>
                <w:rFonts w:hint="eastAsia" w:ascii="宋体" w:hAnsi="宋体" w:eastAsia="宋体" w:cs="宋体"/>
                <w:color w:val="000000"/>
                <w:kern w:val="0"/>
                <w:sz w:val="24"/>
                <w:szCs w:val="24"/>
              </w:rPr>
              <w:t>深信服桌面云VDI普通版授权产品维保</w:t>
            </w:r>
          </w:p>
        </w:tc>
        <w:tc>
          <w:tcPr>
            <w:tcW w:w="5250" w:type="dxa"/>
            <w:tcMar>
              <w:top w:w="15" w:type="dxa"/>
              <w:left w:w="15" w:type="dxa"/>
              <w:bottom w:w="0" w:type="dxa"/>
              <w:right w:w="15" w:type="dxa"/>
            </w:tcMar>
            <w:vAlign w:val="center"/>
          </w:tcPr>
          <w:p>
            <w:pPr>
              <w:widowControl/>
              <w:textAlignment w:val="top"/>
              <w:rPr>
                <w:rFonts w:ascii="宋体" w:hAnsi="宋体" w:eastAsia="宋体" w:cs="宋体"/>
                <w:color w:val="000000"/>
                <w:kern w:val="0"/>
                <w:sz w:val="24"/>
                <w:szCs w:val="24"/>
              </w:rPr>
            </w:pPr>
            <w:r>
              <w:rPr>
                <w:rFonts w:hint="eastAsia" w:ascii="宋体" w:hAnsi="宋体" w:eastAsia="宋体" w:cs="宋体"/>
                <w:color w:val="000000"/>
                <w:kern w:val="0"/>
                <w:sz w:val="24"/>
                <w:szCs w:val="24"/>
              </w:rPr>
              <w:t>深信服桌面云VDI普通版授权产品维保；提供至2026年6月22日续保服务，要求原厂续保服务，投标时提供加盖厂家公章的针对本项目服务承诺函以及深信服原厂投标授权函。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5" w:hRule="atLeast"/>
        </w:trPr>
        <w:tc>
          <w:tcPr>
            <w:tcW w:w="2550" w:type="dxa"/>
            <w:tcMar>
              <w:top w:w="15" w:type="dxa"/>
              <w:left w:w="15" w:type="dxa"/>
              <w:bottom w:w="0" w:type="dxa"/>
              <w:right w:w="15" w:type="dxa"/>
            </w:tcMar>
            <w:vAlign w:val="center"/>
          </w:tcPr>
          <w:p>
            <w:pPr>
              <w:widowControl/>
              <w:textAlignment w:val="top"/>
              <w:rPr>
                <w:rFonts w:ascii="宋体" w:hAnsi="宋体" w:eastAsia="宋体" w:cs="宋体"/>
                <w:color w:val="000000"/>
                <w:kern w:val="0"/>
                <w:sz w:val="24"/>
                <w:szCs w:val="24"/>
              </w:rPr>
            </w:pPr>
            <w:r>
              <w:rPr>
                <w:rFonts w:hint="eastAsia" w:ascii="宋体" w:hAnsi="宋体" w:eastAsia="宋体" w:cs="宋体"/>
                <w:color w:val="000000"/>
                <w:kern w:val="0"/>
                <w:sz w:val="24"/>
                <w:szCs w:val="24"/>
              </w:rPr>
              <w:t>深信服虚拟桌面控制器（VDC）专业版产品维保</w:t>
            </w:r>
          </w:p>
        </w:tc>
        <w:tc>
          <w:tcPr>
            <w:tcW w:w="5250" w:type="dxa"/>
            <w:tcMar>
              <w:top w:w="15" w:type="dxa"/>
              <w:left w:w="15" w:type="dxa"/>
              <w:bottom w:w="0" w:type="dxa"/>
              <w:right w:w="15" w:type="dxa"/>
            </w:tcMar>
            <w:vAlign w:val="center"/>
          </w:tcPr>
          <w:p>
            <w:pPr>
              <w:widowControl/>
              <w:textAlignment w:val="top"/>
              <w:rPr>
                <w:rFonts w:ascii="宋体" w:hAnsi="宋体" w:eastAsia="宋体" w:cs="宋体"/>
                <w:color w:val="000000"/>
                <w:kern w:val="0"/>
                <w:sz w:val="24"/>
                <w:szCs w:val="24"/>
              </w:rPr>
            </w:pPr>
            <w:r>
              <w:rPr>
                <w:rFonts w:hint="eastAsia" w:ascii="宋体" w:hAnsi="宋体" w:eastAsia="宋体" w:cs="宋体"/>
                <w:color w:val="000000"/>
                <w:kern w:val="0"/>
                <w:sz w:val="24"/>
                <w:szCs w:val="24"/>
              </w:rPr>
              <w:t>深信服虚拟桌面控制器（VDC）专业版产品维保；提供至2026年6月22日续保服务，要求原厂续保服务，投标时提供加盖厂家公章的针对本项目服务承诺函以及深信服原厂投标授权函。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5" w:hRule="atLeast"/>
        </w:trPr>
        <w:tc>
          <w:tcPr>
            <w:tcW w:w="2550" w:type="dxa"/>
            <w:tcMar>
              <w:top w:w="15" w:type="dxa"/>
              <w:left w:w="15" w:type="dxa"/>
              <w:bottom w:w="0" w:type="dxa"/>
              <w:right w:w="15" w:type="dxa"/>
            </w:tcMar>
            <w:vAlign w:val="center"/>
          </w:tcPr>
          <w:p>
            <w:pPr>
              <w:widowControl/>
              <w:textAlignment w:val="top"/>
              <w:rPr>
                <w:rFonts w:ascii="宋体" w:hAnsi="宋体" w:eastAsia="宋体" w:cs="宋体"/>
                <w:color w:val="000000"/>
                <w:kern w:val="0"/>
                <w:sz w:val="24"/>
                <w:szCs w:val="24"/>
              </w:rPr>
            </w:pPr>
            <w:r>
              <w:rPr>
                <w:rFonts w:hint="eastAsia" w:ascii="宋体" w:hAnsi="宋体" w:eastAsia="宋体" w:cs="宋体"/>
                <w:color w:val="000000"/>
                <w:kern w:val="0"/>
                <w:sz w:val="24"/>
                <w:szCs w:val="24"/>
              </w:rPr>
              <w:t>深信服虚拟存储软件产品维保</w:t>
            </w:r>
          </w:p>
        </w:tc>
        <w:tc>
          <w:tcPr>
            <w:tcW w:w="5250" w:type="dxa"/>
            <w:tcMar>
              <w:top w:w="15" w:type="dxa"/>
              <w:left w:w="15" w:type="dxa"/>
              <w:bottom w:w="0" w:type="dxa"/>
              <w:right w:w="15" w:type="dxa"/>
            </w:tcMar>
            <w:vAlign w:val="center"/>
          </w:tcPr>
          <w:p>
            <w:pPr>
              <w:widowControl/>
              <w:textAlignment w:val="top"/>
              <w:rPr>
                <w:rFonts w:ascii="宋体" w:hAnsi="宋体" w:eastAsia="宋体" w:cs="宋体"/>
                <w:color w:val="000000"/>
                <w:kern w:val="0"/>
                <w:sz w:val="24"/>
                <w:szCs w:val="24"/>
              </w:rPr>
            </w:pPr>
            <w:r>
              <w:rPr>
                <w:rFonts w:hint="eastAsia" w:ascii="宋体" w:hAnsi="宋体" w:eastAsia="宋体" w:cs="宋体"/>
                <w:color w:val="000000"/>
                <w:kern w:val="0"/>
                <w:sz w:val="24"/>
                <w:szCs w:val="24"/>
              </w:rPr>
              <w:t>深信服虚拟存储软件产品维保；提供至2026年6月22日续保服务，要求原厂续保服务，投标时提供加盖厂家公章的针对本项目服务承诺函以及深信服原厂投标授权函。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5" w:hRule="atLeast"/>
        </w:trPr>
        <w:tc>
          <w:tcPr>
            <w:tcW w:w="2550" w:type="dxa"/>
            <w:tcMar>
              <w:top w:w="15" w:type="dxa"/>
              <w:left w:w="15" w:type="dxa"/>
              <w:bottom w:w="0" w:type="dxa"/>
              <w:right w:w="15" w:type="dxa"/>
            </w:tcMar>
            <w:vAlign w:val="center"/>
          </w:tcPr>
          <w:p>
            <w:pPr>
              <w:widowControl/>
              <w:textAlignment w:val="top"/>
              <w:rPr>
                <w:rFonts w:ascii="宋体" w:hAnsi="宋体" w:eastAsia="宋体" w:cs="宋体"/>
                <w:color w:val="000000"/>
                <w:kern w:val="0"/>
                <w:sz w:val="24"/>
                <w:szCs w:val="24"/>
              </w:rPr>
            </w:pPr>
            <w:r>
              <w:rPr>
                <w:rFonts w:hint="eastAsia" w:ascii="宋体" w:hAnsi="宋体" w:eastAsia="宋体" w:cs="宋体"/>
                <w:color w:val="000000"/>
                <w:kern w:val="0"/>
                <w:sz w:val="24"/>
                <w:szCs w:val="24"/>
              </w:rPr>
              <w:t>深信服计算服务器虚拟化软件产品维保</w:t>
            </w:r>
          </w:p>
        </w:tc>
        <w:tc>
          <w:tcPr>
            <w:tcW w:w="5250" w:type="dxa"/>
            <w:tcMar>
              <w:top w:w="15" w:type="dxa"/>
              <w:left w:w="15" w:type="dxa"/>
              <w:bottom w:w="0" w:type="dxa"/>
              <w:right w:w="15" w:type="dxa"/>
            </w:tcMar>
            <w:vAlign w:val="center"/>
          </w:tcPr>
          <w:p>
            <w:pPr>
              <w:widowControl/>
              <w:textAlignment w:val="top"/>
              <w:rPr>
                <w:rFonts w:ascii="宋体" w:hAnsi="宋体" w:eastAsia="宋体" w:cs="宋体"/>
                <w:color w:val="000000"/>
                <w:kern w:val="0"/>
                <w:sz w:val="24"/>
                <w:szCs w:val="24"/>
              </w:rPr>
            </w:pPr>
            <w:r>
              <w:rPr>
                <w:rFonts w:hint="eastAsia" w:ascii="宋体" w:hAnsi="宋体" w:eastAsia="宋体" w:cs="宋体"/>
                <w:color w:val="000000"/>
                <w:kern w:val="0"/>
                <w:sz w:val="24"/>
                <w:szCs w:val="24"/>
              </w:rPr>
              <w:t>深信服计算服务器虚拟化软件产品维保；提供至2026年6月22日续保服务，要求原厂续保服务，投标时提供加盖厂家公章的针对本项目服务承诺函以及深信服原厂投标授权函。</w:t>
            </w:r>
          </w:p>
        </w:tc>
      </w:tr>
    </w:tbl>
    <w:p>
      <w:pPr>
        <w:widowControl/>
        <w:spacing w:before="75" w:after="75"/>
        <w:ind w:firstLine="480"/>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p>
      <w:pPr>
        <w:widowControl/>
        <w:spacing w:before="75" w:after="75" w:line="360" w:lineRule="atLeast"/>
        <w:rPr>
          <w:rFonts w:ascii="宋体" w:hAnsi="宋体" w:eastAsia="宋体" w:cs="宋体"/>
          <w:color w:val="000000"/>
          <w:kern w:val="0"/>
          <w:sz w:val="24"/>
          <w:szCs w:val="24"/>
        </w:rPr>
      </w:pPr>
      <w:r>
        <w:rPr>
          <w:rFonts w:hint="eastAsia" w:ascii="宋体" w:hAnsi="宋体" w:eastAsia="宋体" w:cs="宋体"/>
          <w:color w:val="000000"/>
          <w:kern w:val="0"/>
          <w:sz w:val="24"/>
          <w:szCs w:val="24"/>
        </w:rPr>
        <w:t>四、投标要求：</w:t>
      </w:r>
    </w:p>
    <w:p>
      <w:pPr>
        <w:widowControl/>
        <w:spacing w:before="75" w:after="75" w:line="360" w:lineRule="atLeast"/>
        <w:rPr>
          <w:rFonts w:ascii="宋体" w:hAnsi="宋体" w:eastAsia="宋体" w:cs="宋体"/>
          <w:color w:val="000000"/>
          <w:kern w:val="0"/>
          <w:sz w:val="24"/>
          <w:szCs w:val="24"/>
        </w:rPr>
      </w:pPr>
      <w:r>
        <w:rPr>
          <w:rFonts w:hint="eastAsia" w:ascii="宋体" w:hAnsi="宋体" w:eastAsia="宋体" w:cs="宋体"/>
          <w:color w:val="000000"/>
          <w:kern w:val="0"/>
          <w:sz w:val="24"/>
          <w:szCs w:val="24"/>
        </w:rPr>
        <w:t>  1、资质要求：合格投标人应首先符合《中华人民共和国政府采购法》第二十二条规定的基本条件，具有独立承担民事责任的能力;具有良好的商业信誉和健全的财务会计制度;具有履行合同所必需的设备和专业技术能力；有依法缴纳税收和社会保障资金的良好记录;参加政府采购活动前2年内，在经营活动中没有重大违法记录;法律、行政法规规定的其他条件；</w:t>
      </w:r>
    </w:p>
    <w:p>
      <w:pPr>
        <w:widowControl/>
        <w:spacing w:before="75" w:after="75" w:line="360" w:lineRule="atLeast"/>
        <w:rPr>
          <w:rFonts w:ascii="宋体" w:hAnsi="宋体" w:eastAsia="宋体" w:cs="宋体"/>
          <w:color w:val="000000"/>
          <w:kern w:val="0"/>
          <w:sz w:val="24"/>
          <w:szCs w:val="24"/>
        </w:rPr>
      </w:pPr>
      <w:r>
        <w:rPr>
          <w:rFonts w:hint="eastAsia" w:ascii="宋体" w:hAnsi="宋体" w:eastAsia="宋体" w:cs="宋体"/>
          <w:color w:val="000000"/>
          <w:kern w:val="0"/>
          <w:sz w:val="24"/>
          <w:szCs w:val="24"/>
        </w:rPr>
        <w:t>  2、付款方式：验收合格后支付项目款100%；</w:t>
      </w:r>
    </w:p>
    <w:p>
      <w:pPr>
        <w:widowControl/>
        <w:spacing w:before="75" w:after="75" w:line="360" w:lineRule="atLeast"/>
        <w:rPr>
          <w:rFonts w:ascii="宋体" w:hAnsi="宋体" w:eastAsia="宋体" w:cs="宋体"/>
          <w:color w:val="000000"/>
          <w:kern w:val="0"/>
          <w:sz w:val="24"/>
          <w:szCs w:val="24"/>
        </w:rPr>
      </w:pPr>
      <w:r>
        <w:rPr>
          <w:rFonts w:hint="eastAsia" w:ascii="宋体" w:hAnsi="宋体" w:eastAsia="宋体" w:cs="宋体"/>
          <w:color w:val="000000"/>
          <w:kern w:val="0"/>
          <w:sz w:val="24"/>
          <w:szCs w:val="24"/>
        </w:rPr>
        <w:t>  3、投标文件需要密封，加盖骑缝章。投标文件一式五份，全部按规定加盖公章。投标文件组成：投标函、法人证明、营业执照（复印件加盖公章）及公司简介、投标人信用承诺书、廉政承诺书、投标报价表（加盖公章）、维保方案等。</w:t>
      </w:r>
    </w:p>
    <w:p>
      <w:pPr>
        <w:widowControl/>
        <w:spacing w:before="75" w:after="75" w:line="360" w:lineRule="atLeast"/>
        <w:rPr>
          <w:rFonts w:ascii="宋体" w:hAnsi="宋体" w:eastAsia="宋体" w:cs="宋体"/>
          <w:color w:val="000000"/>
          <w:kern w:val="0"/>
          <w:sz w:val="24"/>
          <w:szCs w:val="24"/>
        </w:rPr>
      </w:pPr>
      <w:r>
        <w:rPr>
          <w:rFonts w:hint="eastAsia" w:ascii="宋体" w:hAnsi="宋体" w:eastAsia="宋体" w:cs="宋体"/>
          <w:color w:val="000000"/>
          <w:kern w:val="0"/>
          <w:sz w:val="24"/>
          <w:szCs w:val="24"/>
        </w:rPr>
        <w:t>五、项目控制价：</w:t>
      </w:r>
      <w:r>
        <w:rPr>
          <w:rFonts w:hint="eastAsia" w:ascii="宋体" w:hAnsi="宋体" w:eastAsia="宋体" w:cs="宋体"/>
          <w:color w:val="000000"/>
          <w:kern w:val="0"/>
          <w:sz w:val="24"/>
          <w:szCs w:val="24"/>
          <w:lang w:val="en-US" w:eastAsia="zh-CN"/>
        </w:rPr>
        <w:t>19.8万</w:t>
      </w:r>
      <w:r>
        <w:rPr>
          <w:rFonts w:hint="eastAsia" w:ascii="宋体" w:hAnsi="宋体" w:eastAsia="宋体" w:cs="宋体"/>
          <w:color w:val="000000"/>
          <w:kern w:val="0"/>
          <w:sz w:val="24"/>
          <w:szCs w:val="24"/>
        </w:rPr>
        <w:t>元</w:t>
      </w:r>
    </w:p>
    <w:p>
      <w:pPr>
        <w:widowControl/>
        <w:spacing w:before="75" w:after="75" w:line="360" w:lineRule="atLeast"/>
        <w:rPr>
          <w:rFonts w:ascii="宋体" w:hAnsi="宋体" w:eastAsia="宋体" w:cs="宋体"/>
          <w:color w:val="000000"/>
          <w:kern w:val="0"/>
          <w:sz w:val="24"/>
          <w:szCs w:val="24"/>
        </w:rPr>
      </w:pPr>
      <w:r>
        <w:rPr>
          <w:rFonts w:hint="eastAsia" w:ascii="宋体" w:hAnsi="宋体" w:eastAsia="宋体" w:cs="宋体"/>
          <w:color w:val="000000"/>
          <w:kern w:val="0"/>
          <w:sz w:val="24"/>
          <w:szCs w:val="24"/>
        </w:rPr>
        <w:t>六、评分办法：见附件</w:t>
      </w:r>
    </w:p>
    <w:p>
      <w:pPr>
        <w:widowControl/>
        <w:spacing w:before="75" w:after="75" w:line="360" w:lineRule="atLeast"/>
        <w:rPr>
          <w:rFonts w:hint="default"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rPr>
        <w:t>七、本地投递标书地点：山东大学(南门）保卫室。联系电话：0631-56880</w:t>
      </w:r>
      <w:r>
        <w:rPr>
          <w:rFonts w:hint="eastAsia" w:ascii="宋体" w:hAnsi="宋体" w:eastAsia="宋体" w:cs="宋体"/>
          <w:color w:val="000000"/>
          <w:kern w:val="0"/>
          <w:sz w:val="24"/>
          <w:szCs w:val="24"/>
          <w:lang w:val="en-US" w:eastAsia="zh-CN"/>
        </w:rPr>
        <w:t>28</w:t>
      </w:r>
    </w:p>
    <w:p>
      <w:pPr>
        <w:widowControl/>
        <w:spacing w:before="75" w:after="75" w:line="360" w:lineRule="atLeast"/>
        <w:ind w:firstLine="480"/>
        <w:rPr>
          <w:rFonts w:hint="default"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rPr>
        <w:t>外地邮寄标书地址：山东省威海市文化西路180号 山东大学（威海）</w:t>
      </w:r>
      <w:r>
        <w:rPr>
          <w:rFonts w:hint="eastAsia" w:ascii="宋体" w:hAnsi="宋体" w:eastAsia="宋体" w:cs="宋体"/>
          <w:color w:val="000000"/>
          <w:kern w:val="0"/>
          <w:sz w:val="24"/>
          <w:szCs w:val="24"/>
          <w:lang w:val="en-US" w:eastAsia="zh-CN"/>
        </w:rPr>
        <w:t>闻天南楼202</w:t>
      </w:r>
      <w:r>
        <w:rPr>
          <w:rFonts w:hint="eastAsia" w:ascii="宋体" w:hAnsi="宋体" w:eastAsia="宋体" w:cs="宋体"/>
          <w:color w:val="000000"/>
          <w:kern w:val="0"/>
          <w:sz w:val="24"/>
          <w:szCs w:val="24"/>
        </w:rPr>
        <w:t xml:space="preserve"> </w:t>
      </w:r>
      <w:r>
        <w:rPr>
          <w:rFonts w:hint="eastAsia" w:ascii="宋体" w:hAnsi="宋体" w:eastAsia="宋体" w:cs="宋体"/>
          <w:color w:val="000000"/>
          <w:kern w:val="0"/>
          <w:sz w:val="24"/>
          <w:szCs w:val="24"/>
          <w:lang w:val="en-US" w:eastAsia="zh-CN"/>
        </w:rPr>
        <w:t>李智超</w:t>
      </w:r>
      <w:r>
        <w:rPr>
          <w:rFonts w:hint="eastAsia" w:ascii="宋体" w:hAnsi="宋体" w:eastAsia="宋体" w:cs="宋体"/>
          <w:color w:val="000000"/>
          <w:kern w:val="0"/>
          <w:sz w:val="24"/>
          <w:szCs w:val="24"/>
        </w:rPr>
        <w:t>（收），联系电话：0631-56880</w:t>
      </w:r>
      <w:r>
        <w:rPr>
          <w:rFonts w:hint="eastAsia" w:ascii="宋体" w:hAnsi="宋体" w:eastAsia="宋体" w:cs="宋体"/>
          <w:color w:val="000000"/>
          <w:kern w:val="0"/>
          <w:sz w:val="24"/>
          <w:szCs w:val="24"/>
          <w:lang w:val="en-US" w:eastAsia="zh-CN"/>
        </w:rPr>
        <w:t>28</w:t>
      </w:r>
    </w:p>
    <w:p>
      <w:pPr>
        <w:widowControl/>
        <w:spacing w:before="75" w:after="75" w:line="360" w:lineRule="atLeast"/>
        <w:rPr>
          <w:rFonts w:ascii="宋体" w:hAnsi="宋体" w:eastAsia="宋体" w:cs="宋体"/>
          <w:color w:val="000000"/>
          <w:kern w:val="0"/>
          <w:sz w:val="24"/>
          <w:szCs w:val="24"/>
        </w:rPr>
      </w:pPr>
      <w:r>
        <w:rPr>
          <w:rFonts w:hint="eastAsia" w:ascii="宋体" w:hAnsi="宋体" w:eastAsia="宋体" w:cs="宋体"/>
          <w:color w:val="000000"/>
          <w:kern w:val="0"/>
          <w:sz w:val="24"/>
          <w:szCs w:val="24"/>
        </w:rPr>
        <w:t>九、报价截止日期：2024年10月1</w:t>
      </w:r>
      <w:r>
        <w:rPr>
          <w:rFonts w:hint="eastAsia" w:ascii="宋体" w:hAnsi="宋体" w:eastAsia="宋体" w:cs="宋体"/>
          <w:color w:val="000000"/>
          <w:kern w:val="0"/>
          <w:sz w:val="24"/>
          <w:szCs w:val="24"/>
          <w:lang w:val="en-US" w:eastAsia="zh-CN"/>
        </w:rPr>
        <w:t>7</w:t>
      </w:r>
      <w:bookmarkStart w:id="7" w:name="_GoBack"/>
      <w:bookmarkEnd w:id="7"/>
      <w:r>
        <w:rPr>
          <w:rFonts w:hint="eastAsia" w:ascii="宋体" w:hAnsi="宋体" w:eastAsia="宋体" w:cs="宋体"/>
          <w:color w:val="000000"/>
          <w:kern w:val="0"/>
          <w:sz w:val="24"/>
          <w:szCs w:val="24"/>
        </w:rPr>
        <w:t>日 9：00（北京时间），逾期不予受理。</w:t>
      </w:r>
    </w:p>
    <w:p>
      <w:pPr>
        <w:widowControl/>
        <w:spacing w:before="75" w:after="75"/>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ind w:firstLine="3522" w:firstLineChars="1100"/>
        <w:rPr>
          <w:b/>
          <w:bCs/>
          <w:sz w:val="32"/>
          <w:szCs w:val="32"/>
        </w:rPr>
      </w:pPr>
      <w:r>
        <w:rPr>
          <w:rFonts w:hint="eastAsia"/>
          <w:b/>
          <w:bCs/>
          <w:sz w:val="32"/>
          <w:szCs w:val="32"/>
        </w:rPr>
        <w:t>评分标准</w:t>
      </w:r>
    </w:p>
    <w:tbl>
      <w:tblPr>
        <w:tblStyle w:val="6"/>
        <w:tblW w:w="9570" w:type="dxa"/>
        <w:jc w:val="center"/>
        <w:tblLayout w:type="fixed"/>
        <w:tblCellMar>
          <w:top w:w="0" w:type="dxa"/>
          <w:left w:w="108" w:type="dxa"/>
          <w:bottom w:w="0" w:type="dxa"/>
          <w:right w:w="108" w:type="dxa"/>
        </w:tblCellMar>
      </w:tblPr>
      <w:tblGrid>
        <w:gridCol w:w="817"/>
        <w:gridCol w:w="1348"/>
        <w:gridCol w:w="5031"/>
        <w:gridCol w:w="1276"/>
        <w:gridCol w:w="1098"/>
      </w:tblGrid>
      <w:tr>
        <w:tblPrEx>
          <w:tblCellMar>
            <w:top w:w="0" w:type="dxa"/>
            <w:left w:w="108" w:type="dxa"/>
            <w:bottom w:w="0" w:type="dxa"/>
            <w:right w:w="108" w:type="dxa"/>
          </w:tblCellMar>
        </w:tblPrEx>
        <w:trPr>
          <w:trHeight w:val="1134"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序号</w:t>
            </w:r>
          </w:p>
        </w:tc>
        <w:tc>
          <w:tcPr>
            <w:tcW w:w="1348" w:type="dxa"/>
            <w:tcBorders>
              <w:top w:val="single" w:color="auto" w:sz="4" w:space="0"/>
              <w:left w:val="nil"/>
              <w:bottom w:val="single" w:color="auto" w:sz="4" w:space="0"/>
              <w:right w:val="single" w:color="auto" w:sz="4" w:space="0"/>
            </w:tcBorders>
            <w:vAlign w:val="center"/>
          </w:tcPr>
          <w:p>
            <w:pPr>
              <w:widowControl/>
              <w:snapToGrid w:val="0"/>
              <w:spacing w:line="360" w:lineRule="exac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评审项目</w:t>
            </w:r>
          </w:p>
        </w:tc>
        <w:tc>
          <w:tcPr>
            <w:tcW w:w="5031" w:type="dxa"/>
            <w:tcBorders>
              <w:top w:val="single" w:color="auto" w:sz="4" w:space="0"/>
              <w:left w:val="nil"/>
              <w:bottom w:val="single" w:color="auto" w:sz="4" w:space="0"/>
              <w:right w:val="single" w:color="auto" w:sz="4" w:space="0"/>
            </w:tcBorders>
            <w:vAlign w:val="center"/>
          </w:tcPr>
          <w:p>
            <w:pPr>
              <w:widowControl/>
              <w:snapToGrid w:val="0"/>
              <w:spacing w:line="360" w:lineRule="exac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评审内容及规则</w:t>
            </w:r>
          </w:p>
        </w:tc>
        <w:tc>
          <w:tcPr>
            <w:tcW w:w="1276" w:type="dxa"/>
            <w:tcBorders>
              <w:top w:val="single" w:color="auto" w:sz="4" w:space="0"/>
              <w:left w:val="nil"/>
              <w:bottom w:val="single" w:color="auto" w:sz="4" w:space="0"/>
              <w:right w:val="single" w:color="auto" w:sz="4" w:space="0"/>
            </w:tcBorders>
            <w:vAlign w:val="center"/>
          </w:tcPr>
          <w:p>
            <w:pPr>
              <w:widowControl/>
              <w:snapToGrid w:val="0"/>
              <w:spacing w:line="360" w:lineRule="exac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标准分值</w:t>
            </w:r>
          </w:p>
        </w:tc>
        <w:tc>
          <w:tcPr>
            <w:tcW w:w="1098" w:type="dxa"/>
            <w:tcBorders>
              <w:top w:val="single" w:color="auto" w:sz="4" w:space="0"/>
              <w:left w:val="nil"/>
              <w:bottom w:val="single" w:color="auto" w:sz="4" w:space="0"/>
              <w:right w:val="single" w:color="auto" w:sz="4" w:space="0"/>
            </w:tcBorders>
            <w:vAlign w:val="center"/>
          </w:tcPr>
          <w:p>
            <w:pPr>
              <w:widowControl/>
              <w:snapToGrid w:val="0"/>
              <w:spacing w:line="360" w:lineRule="exac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说</w:t>
            </w: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明</w:t>
            </w:r>
          </w:p>
        </w:tc>
      </w:tr>
      <w:tr>
        <w:tblPrEx>
          <w:tblCellMar>
            <w:top w:w="0" w:type="dxa"/>
            <w:left w:w="108" w:type="dxa"/>
            <w:bottom w:w="0" w:type="dxa"/>
            <w:right w:w="108" w:type="dxa"/>
          </w:tblCellMar>
        </w:tblPrEx>
        <w:trPr>
          <w:trHeight w:val="1701"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1348"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价格评审</w:t>
            </w:r>
          </w:p>
        </w:tc>
        <w:tc>
          <w:tcPr>
            <w:tcW w:w="5031" w:type="dxa"/>
            <w:tcBorders>
              <w:top w:val="single" w:color="auto" w:sz="4" w:space="0"/>
              <w:left w:val="single" w:color="auto" w:sz="4" w:space="0"/>
              <w:bottom w:val="single" w:color="auto" w:sz="4" w:space="0"/>
              <w:right w:val="single" w:color="auto" w:sz="4" w:space="0"/>
            </w:tcBorders>
            <w:vAlign w:val="center"/>
          </w:tcPr>
          <w:p>
            <w:pPr>
              <w:widowControl/>
              <w:snapToGrid w:val="0"/>
              <w:ind w:firstLine="480" w:firstLineChars="20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低价优先法：满足招标文件要求且投标价格最低的投标报价为评标基准价，得满分20分。</w:t>
            </w:r>
          </w:p>
          <w:p>
            <w:pPr>
              <w:widowControl/>
              <w:snapToGrid w:val="0"/>
              <w:ind w:firstLine="240" w:firstLineChars="10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投标报价得分＝（评标基准价／各投标人投标报价）×20。</w:t>
            </w:r>
          </w:p>
          <w:p>
            <w:pPr>
              <w:widowControl/>
              <w:snapToGrid w:val="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关于合理最低报价的说明：</w:t>
            </w:r>
          </w:p>
          <w:p>
            <w:pPr>
              <w:widowControl/>
              <w:snapToGrid w:val="0"/>
              <w:spacing w:line="360" w:lineRule="exac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合理最低报价为投标人有效唱标报价的最低价。投标人最终报价中的最低报价或者某些分项报价明显不合理或者低于成本，有可能影响商品质量和不能诚信履约的，评标委员会应当要求其在规定的期限内提供书面文件予以解释说明，并提交相关证明材料；不能在规定的期限内提供书面文件予以解释说明、提交相关证明材料的，报价按无效处理。</w:t>
            </w:r>
          </w:p>
        </w:tc>
        <w:tc>
          <w:tcPr>
            <w:tcW w:w="1276"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20</w:t>
            </w:r>
          </w:p>
        </w:tc>
        <w:tc>
          <w:tcPr>
            <w:tcW w:w="1098"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rPr>
                <w:rFonts w:ascii="宋体" w:hAnsi="宋体" w:eastAsia="宋体" w:cs="宋体"/>
                <w:color w:val="000000"/>
                <w:kern w:val="0"/>
                <w:sz w:val="24"/>
                <w:szCs w:val="24"/>
              </w:rPr>
            </w:pPr>
          </w:p>
        </w:tc>
      </w:tr>
      <w:tr>
        <w:tblPrEx>
          <w:tblCellMar>
            <w:top w:w="0" w:type="dxa"/>
            <w:left w:w="108" w:type="dxa"/>
            <w:bottom w:w="0" w:type="dxa"/>
            <w:right w:w="108" w:type="dxa"/>
          </w:tblCellMar>
        </w:tblPrEx>
        <w:trPr>
          <w:trHeight w:val="1701"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1348"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售后服务方案</w:t>
            </w:r>
          </w:p>
        </w:tc>
        <w:tc>
          <w:tcPr>
            <w:tcW w:w="5031"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ind w:firstLine="480" w:firstLineChars="20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评委根据售后服务方案以1分为单位进行打分：</w:t>
            </w:r>
          </w:p>
          <w:p>
            <w:pPr>
              <w:widowControl/>
              <w:snapToGrid w:val="0"/>
              <w:spacing w:line="360" w:lineRule="exact"/>
              <w:ind w:firstLine="480" w:firstLineChars="20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服务方案内容详细、科学、完整、措施完善，技术支持响应时间快，有专职服务技术人员、经验丰富，能够很好的满足我单位需求，有突出的服务优势，得3</w:t>
            </w:r>
            <w:r>
              <w:rPr>
                <w:rFonts w:ascii="宋体" w:hAnsi="宋体" w:eastAsia="宋体" w:cs="宋体"/>
                <w:color w:val="000000"/>
                <w:kern w:val="0"/>
                <w:sz w:val="24"/>
                <w:szCs w:val="24"/>
              </w:rPr>
              <w:t>0</w:t>
            </w:r>
            <w:r>
              <w:rPr>
                <w:rFonts w:hint="eastAsia" w:ascii="宋体" w:hAnsi="宋体" w:eastAsia="宋体" w:cs="宋体"/>
                <w:color w:val="000000"/>
                <w:kern w:val="0"/>
                <w:sz w:val="24"/>
                <w:szCs w:val="24"/>
              </w:rPr>
              <w:t>-40分</w:t>
            </w:r>
          </w:p>
          <w:p>
            <w:pPr>
              <w:widowControl/>
              <w:snapToGrid w:val="0"/>
              <w:spacing w:line="360" w:lineRule="exact"/>
              <w:ind w:firstLine="480" w:firstLineChars="20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服务方案内容较全面，措施得当，技术响应时间略长，服务水平一般，得</w:t>
            </w:r>
            <w:r>
              <w:rPr>
                <w:rFonts w:ascii="宋体" w:hAnsi="宋体" w:eastAsia="宋体" w:cs="宋体"/>
                <w:color w:val="000000"/>
                <w:kern w:val="0"/>
                <w:sz w:val="24"/>
                <w:szCs w:val="24"/>
              </w:rPr>
              <w:t>20</w:t>
            </w:r>
            <w:r>
              <w:rPr>
                <w:rFonts w:hint="eastAsia" w:ascii="宋体" w:hAnsi="宋体" w:eastAsia="宋体" w:cs="宋体"/>
                <w:color w:val="000000"/>
                <w:kern w:val="0"/>
                <w:sz w:val="24"/>
                <w:szCs w:val="24"/>
              </w:rPr>
              <w:t>-</w:t>
            </w:r>
            <w:r>
              <w:rPr>
                <w:rFonts w:ascii="宋体" w:hAnsi="宋体" w:eastAsia="宋体" w:cs="宋体"/>
                <w:color w:val="000000"/>
                <w:kern w:val="0"/>
                <w:sz w:val="24"/>
                <w:szCs w:val="24"/>
              </w:rPr>
              <w:t>29</w:t>
            </w:r>
            <w:r>
              <w:rPr>
                <w:rFonts w:hint="eastAsia" w:ascii="宋体" w:hAnsi="宋体" w:eastAsia="宋体" w:cs="宋体"/>
                <w:color w:val="000000"/>
                <w:kern w:val="0"/>
                <w:sz w:val="24"/>
                <w:szCs w:val="24"/>
              </w:rPr>
              <w:t>分</w:t>
            </w:r>
          </w:p>
          <w:p>
            <w:pPr>
              <w:widowControl/>
              <w:snapToGrid w:val="0"/>
              <w:spacing w:line="360" w:lineRule="exact"/>
              <w:ind w:firstLine="480" w:firstLineChars="20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服务方案内容比较简陋或存在部分缺陷，承诺的服务水平相对较低，得0-</w:t>
            </w:r>
            <w:r>
              <w:rPr>
                <w:rFonts w:ascii="宋体" w:hAnsi="宋体" w:eastAsia="宋体" w:cs="宋体"/>
                <w:color w:val="000000"/>
                <w:kern w:val="0"/>
                <w:sz w:val="24"/>
                <w:szCs w:val="24"/>
              </w:rPr>
              <w:t>19</w:t>
            </w:r>
            <w:r>
              <w:rPr>
                <w:rFonts w:hint="eastAsia" w:ascii="宋体" w:hAnsi="宋体" w:eastAsia="宋体" w:cs="宋体"/>
                <w:color w:val="000000"/>
                <w:kern w:val="0"/>
                <w:sz w:val="24"/>
                <w:szCs w:val="24"/>
              </w:rPr>
              <w:t>分</w:t>
            </w:r>
          </w:p>
        </w:tc>
        <w:tc>
          <w:tcPr>
            <w:tcW w:w="1276"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40</w:t>
            </w:r>
          </w:p>
        </w:tc>
        <w:tc>
          <w:tcPr>
            <w:tcW w:w="1098"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rPr>
                <w:rFonts w:ascii="宋体" w:hAnsi="宋体" w:eastAsia="宋体" w:cs="宋体"/>
                <w:color w:val="000000"/>
                <w:kern w:val="0"/>
                <w:sz w:val="24"/>
                <w:szCs w:val="24"/>
              </w:rPr>
            </w:pPr>
          </w:p>
        </w:tc>
      </w:tr>
      <w:tr>
        <w:tblPrEx>
          <w:tblCellMar>
            <w:top w:w="0" w:type="dxa"/>
            <w:left w:w="108" w:type="dxa"/>
            <w:bottom w:w="0" w:type="dxa"/>
            <w:right w:w="108" w:type="dxa"/>
          </w:tblCellMar>
        </w:tblPrEx>
        <w:trPr>
          <w:trHeight w:val="416"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1348"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项目拟派团队</w:t>
            </w:r>
          </w:p>
        </w:tc>
        <w:tc>
          <w:tcPr>
            <w:tcW w:w="5031"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ind w:firstLine="480" w:firstLineChars="20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1.对人员配置、维保计划安排进行综合评价，得0-5分。</w:t>
            </w:r>
          </w:p>
          <w:p>
            <w:pPr>
              <w:widowControl/>
              <w:snapToGrid w:val="0"/>
              <w:spacing w:line="360" w:lineRule="exact"/>
              <w:ind w:firstLine="480" w:firstLineChars="20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2</w:t>
            </w:r>
            <w:r>
              <w:rPr>
                <w:rFonts w:ascii="宋体" w:hAnsi="宋体" w:eastAsia="宋体" w:cs="宋体"/>
                <w:color w:val="000000"/>
                <w:kern w:val="0"/>
                <w:sz w:val="24"/>
                <w:szCs w:val="24"/>
              </w:rPr>
              <w:t>.</w:t>
            </w:r>
            <w:r>
              <w:rPr>
                <w:rFonts w:hint="eastAsia" w:ascii="宋体" w:hAnsi="宋体" w:eastAsia="宋体" w:cs="宋体"/>
                <w:color w:val="000000"/>
                <w:kern w:val="0"/>
                <w:sz w:val="24"/>
                <w:szCs w:val="24"/>
              </w:rPr>
              <w:t>为更好服务学校，在维保期内，投标单位提供一人驻场服务得3分，每增加一人得3分，最多得6分。</w:t>
            </w:r>
          </w:p>
          <w:p>
            <w:pPr>
              <w:widowControl/>
              <w:snapToGrid w:val="0"/>
              <w:spacing w:line="360" w:lineRule="exact"/>
              <w:ind w:firstLine="480" w:firstLineChars="20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3.投标单位</w:t>
            </w:r>
            <w:r>
              <w:rPr>
                <w:rFonts w:ascii="宋体" w:hAnsi="宋体" w:eastAsia="宋体" w:cs="宋体"/>
                <w:color w:val="000000"/>
                <w:kern w:val="0"/>
                <w:sz w:val="24"/>
                <w:szCs w:val="24"/>
              </w:rPr>
              <w:t>为本项目配备的服务团队成员应熟悉掌握续保相关设备功能和性能，具备相关经验</w:t>
            </w:r>
            <w:r>
              <w:rPr>
                <w:rFonts w:hint="eastAsia" w:ascii="宋体" w:hAnsi="宋体" w:eastAsia="宋体" w:cs="宋体"/>
                <w:color w:val="000000"/>
                <w:kern w:val="0"/>
                <w:sz w:val="24"/>
                <w:szCs w:val="24"/>
              </w:rPr>
              <w:t>，能够快速解决问题。根据人员配置合理情况得0-9分。</w:t>
            </w:r>
          </w:p>
        </w:tc>
        <w:tc>
          <w:tcPr>
            <w:tcW w:w="1276"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20</w:t>
            </w:r>
          </w:p>
        </w:tc>
        <w:tc>
          <w:tcPr>
            <w:tcW w:w="1098"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rPr>
                <w:rFonts w:ascii="宋体" w:hAnsi="宋体" w:eastAsia="宋体" w:cs="宋体"/>
                <w:color w:val="000000"/>
                <w:kern w:val="0"/>
                <w:sz w:val="24"/>
                <w:szCs w:val="24"/>
              </w:rPr>
            </w:pPr>
          </w:p>
        </w:tc>
      </w:tr>
      <w:tr>
        <w:tblPrEx>
          <w:tblCellMar>
            <w:top w:w="0" w:type="dxa"/>
            <w:left w:w="108" w:type="dxa"/>
            <w:bottom w:w="0" w:type="dxa"/>
            <w:right w:w="108" w:type="dxa"/>
          </w:tblCellMar>
        </w:tblPrEx>
        <w:trPr>
          <w:trHeight w:val="1701"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4</w:t>
            </w:r>
          </w:p>
        </w:tc>
        <w:tc>
          <w:tcPr>
            <w:tcW w:w="1348"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企业综合实力</w:t>
            </w:r>
          </w:p>
        </w:tc>
        <w:tc>
          <w:tcPr>
            <w:tcW w:w="5031"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ind w:firstLine="480" w:firstLineChars="20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w:t>
            </w:r>
            <w:r>
              <w:rPr>
                <w:rFonts w:ascii="宋体" w:hAnsi="宋体" w:eastAsia="宋体" w:cs="宋体"/>
                <w:color w:val="000000"/>
                <w:kern w:val="0"/>
                <w:sz w:val="24"/>
                <w:szCs w:val="24"/>
              </w:rPr>
              <w:t>2020年1月1日至今</w:t>
            </w:r>
            <w:r>
              <w:rPr>
                <w:rFonts w:hint="eastAsia" w:ascii="宋体" w:hAnsi="宋体" w:eastAsia="宋体" w:cs="宋体"/>
                <w:color w:val="000000"/>
                <w:kern w:val="0"/>
                <w:sz w:val="24"/>
                <w:szCs w:val="24"/>
              </w:rPr>
              <w:t>投标单位</w:t>
            </w:r>
            <w:r>
              <w:rPr>
                <w:rFonts w:ascii="宋体" w:hAnsi="宋体" w:eastAsia="宋体" w:cs="宋体"/>
                <w:color w:val="000000"/>
                <w:kern w:val="0"/>
                <w:sz w:val="24"/>
                <w:szCs w:val="24"/>
              </w:rPr>
              <w:t>具有运维</w:t>
            </w:r>
            <w:r>
              <w:rPr>
                <w:rFonts w:hint="eastAsia" w:ascii="宋体" w:hAnsi="宋体" w:eastAsia="宋体" w:cs="宋体"/>
                <w:color w:val="000000"/>
                <w:kern w:val="0"/>
                <w:sz w:val="24"/>
                <w:szCs w:val="24"/>
              </w:rPr>
              <w:t>或者维保</w:t>
            </w:r>
            <w:r>
              <w:rPr>
                <w:rFonts w:ascii="宋体" w:hAnsi="宋体" w:eastAsia="宋体" w:cs="宋体"/>
                <w:color w:val="000000"/>
                <w:kern w:val="0"/>
                <w:sz w:val="24"/>
                <w:szCs w:val="24"/>
              </w:rPr>
              <w:t>服务类项目业绩的，每提供1个得3分，本项最多得6分。</w:t>
            </w:r>
          </w:p>
          <w:p>
            <w:pPr>
              <w:widowControl/>
              <w:snapToGrid w:val="0"/>
              <w:spacing w:line="360" w:lineRule="exact"/>
              <w:ind w:firstLine="480" w:firstLineChars="20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2．投标单位提供生产厂商售后服务承诺函得3分，不提供不得分。</w:t>
            </w:r>
          </w:p>
          <w:p>
            <w:pPr>
              <w:widowControl/>
              <w:snapToGrid w:val="0"/>
              <w:spacing w:line="360" w:lineRule="exact"/>
              <w:ind w:firstLine="480" w:firstLineChars="20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3.投标单位提供本地化服务承诺得1分。</w:t>
            </w:r>
          </w:p>
        </w:tc>
        <w:tc>
          <w:tcPr>
            <w:tcW w:w="1276"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10</w:t>
            </w:r>
          </w:p>
        </w:tc>
        <w:tc>
          <w:tcPr>
            <w:tcW w:w="1098"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rPr>
                <w:rFonts w:ascii="宋体" w:hAnsi="宋体" w:eastAsia="宋体" w:cs="宋体"/>
                <w:color w:val="000000"/>
                <w:kern w:val="0"/>
                <w:sz w:val="24"/>
                <w:szCs w:val="24"/>
              </w:rPr>
            </w:pPr>
          </w:p>
        </w:tc>
      </w:tr>
      <w:tr>
        <w:tblPrEx>
          <w:tblCellMar>
            <w:top w:w="0" w:type="dxa"/>
            <w:left w:w="108" w:type="dxa"/>
            <w:bottom w:w="0" w:type="dxa"/>
            <w:right w:w="108" w:type="dxa"/>
          </w:tblCellMar>
        </w:tblPrEx>
        <w:trPr>
          <w:trHeight w:val="1701"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5</w:t>
            </w:r>
          </w:p>
        </w:tc>
        <w:tc>
          <w:tcPr>
            <w:tcW w:w="1348"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售后服务承诺以及保障措施</w:t>
            </w:r>
          </w:p>
        </w:tc>
        <w:tc>
          <w:tcPr>
            <w:tcW w:w="5031"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ind w:firstLine="480" w:firstLineChars="20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评委根据售后服务承诺以及保障措施以1分为单位进行打分：</w:t>
            </w:r>
          </w:p>
          <w:p>
            <w:pPr>
              <w:widowControl/>
              <w:snapToGrid w:val="0"/>
              <w:spacing w:line="360" w:lineRule="exact"/>
              <w:ind w:firstLine="480" w:firstLineChars="20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售后服务承诺内容详尽且周全，涵盖保障措施的科学性、完整性及高效性，技术支持响应迅速，配备有专职且经验丰富的技术人员，能充分满足用户需求，展现出显著的服务优势，得8-10分</w:t>
            </w:r>
          </w:p>
          <w:p>
            <w:pPr>
              <w:widowControl/>
              <w:snapToGrid w:val="0"/>
              <w:spacing w:line="360" w:lineRule="exact"/>
              <w:ind w:firstLine="480" w:firstLineChars="20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售后服务承诺内容较全面，措施得当，技术响应时间略长，服务水平一般，得5-7分</w:t>
            </w:r>
          </w:p>
          <w:p>
            <w:pPr>
              <w:widowControl/>
              <w:snapToGrid w:val="0"/>
              <w:spacing w:line="360" w:lineRule="exac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服务承诺内容比较简陋或存在部分缺陷，承诺的服务水平相对较低，得0-4分</w:t>
            </w:r>
          </w:p>
        </w:tc>
        <w:tc>
          <w:tcPr>
            <w:tcW w:w="1276"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10</w:t>
            </w:r>
          </w:p>
        </w:tc>
        <w:tc>
          <w:tcPr>
            <w:tcW w:w="1098"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rPr>
                <w:rFonts w:ascii="宋体" w:hAnsi="宋体" w:eastAsia="宋体" w:cs="宋体"/>
                <w:color w:val="000000"/>
                <w:kern w:val="0"/>
                <w:sz w:val="24"/>
                <w:szCs w:val="24"/>
              </w:rPr>
            </w:pPr>
          </w:p>
        </w:tc>
      </w:tr>
    </w:tbl>
    <w:p/>
    <w:p>
      <w:pPr>
        <w:pStyle w:val="2"/>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k1ZGVmYzNiZGZhYzQ2M2Q1ZTFkZTM2YWRiYWE4MDgifQ=="/>
  </w:docVars>
  <w:rsids>
    <w:rsidRoot w:val="00CC0341"/>
    <w:rsid w:val="0018331F"/>
    <w:rsid w:val="005368C3"/>
    <w:rsid w:val="00B22AC6"/>
    <w:rsid w:val="00BA538A"/>
    <w:rsid w:val="00C164C2"/>
    <w:rsid w:val="00C3663B"/>
    <w:rsid w:val="00CC0341"/>
    <w:rsid w:val="01C81F7D"/>
    <w:rsid w:val="033773F4"/>
    <w:rsid w:val="29933562"/>
    <w:rsid w:val="2B4F0F32"/>
    <w:rsid w:val="2D7719B4"/>
    <w:rsid w:val="35976A88"/>
    <w:rsid w:val="3671502B"/>
    <w:rsid w:val="3A555C1F"/>
    <w:rsid w:val="3D5D3C39"/>
    <w:rsid w:val="40795A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qFormat/>
    <w:uiPriority w:val="0"/>
    <w:pPr>
      <w:keepNext/>
      <w:keepLines/>
      <w:spacing w:before="100" w:beforeLines="100" w:after="50" w:afterLines="50" w:line="400" w:lineRule="exact"/>
      <w:jc w:val="center"/>
      <w:outlineLvl w:val="1"/>
    </w:pPr>
    <w:rPr>
      <w:rFonts w:ascii="Arial" w:hAnsi="Arial" w:eastAsia="黑体"/>
      <w:b/>
      <w:bCs/>
      <w:spacing w:val="14"/>
      <w:kern w:val="24"/>
      <w:sz w:val="32"/>
      <w:szCs w:val="20"/>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ody Text Indent 2"/>
    <w:basedOn w:val="1"/>
    <w:qFormat/>
    <w:uiPriority w:val="0"/>
    <w:pPr>
      <w:widowControl/>
      <w:spacing w:line="460" w:lineRule="exact"/>
      <w:ind w:firstLine="570"/>
    </w:pPr>
    <w:rPr>
      <w:u w:val="dottedHeavy"/>
    </w:rPr>
  </w:style>
  <w:style w:type="paragraph" w:styleId="4">
    <w:name w:val="footer"/>
    <w:basedOn w:val="1"/>
    <w:link w:val="9"/>
    <w:autoRedefine/>
    <w:unhideWhenUsed/>
    <w:qFormat/>
    <w:uiPriority w:val="99"/>
    <w:pPr>
      <w:tabs>
        <w:tab w:val="center" w:pos="4153"/>
        <w:tab w:val="right" w:pos="8306"/>
      </w:tabs>
      <w:snapToGrid w:val="0"/>
      <w:jc w:val="left"/>
    </w:pPr>
    <w:rPr>
      <w:sz w:val="18"/>
      <w:szCs w:val="18"/>
    </w:rPr>
  </w:style>
  <w:style w:type="paragraph" w:styleId="5">
    <w:name w:val="header"/>
    <w:basedOn w:val="1"/>
    <w:link w:val="8"/>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页眉 字符"/>
    <w:basedOn w:val="7"/>
    <w:link w:val="5"/>
    <w:autoRedefine/>
    <w:qFormat/>
    <w:uiPriority w:val="99"/>
    <w:rPr>
      <w:kern w:val="2"/>
      <w:sz w:val="18"/>
      <w:szCs w:val="18"/>
    </w:rPr>
  </w:style>
  <w:style w:type="character" w:customStyle="1" w:styleId="9">
    <w:name w:val="页脚 字符"/>
    <w:basedOn w:val="7"/>
    <w:link w:val="4"/>
    <w:autoRedefine/>
    <w:qFormat/>
    <w:uiPriority w:val="99"/>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523</Words>
  <Characters>2987</Characters>
  <Lines>24</Lines>
  <Paragraphs>7</Paragraphs>
  <TotalTime>2</TotalTime>
  <ScaleCrop>false</ScaleCrop>
  <LinksUpToDate>false</LinksUpToDate>
  <CharactersWithSpaces>3503</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2024-10-10T06:20:00Z</dcterms:created>
  <dc:creator>yang45hao@163.com</dc:creator>
  <cp:lastModifiedBy>李智超</cp:lastModifiedBy>
  <dcterms:modified xsi:type="dcterms:W3CDTF">2024-10-10T08:59:18Z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B0C2964E0C154DFFBC1E7E27A22F0B32_13</vt:lpwstr>
  </property>
</Properties>
</file>