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before="62" w:beforeLines="20" w:after="62" w:afterLines="20"/>
        <w:jc w:val="left"/>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技术要求</w:t>
      </w:r>
    </w:p>
    <w:tbl>
      <w:tblPr>
        <w:tblStyle w:val="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457"/>
        <w:gridCol w:w="576"/>
        <w:gridCol w:w="5363"/>
        <w:gridCol w:w="16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268" w:type="pct"/>
            <w:tcBorders>
              <w:top w:val="single" w:color="auto" w:sz="4" w:space="0"/>
              <w:left w:val="single" w:color="auto" w:sz="4" w:space="0"/>
              <w:bottom w:val="single" w:color="auto" w:sz="4" w:space="0"/>
              <w:right w:val="single" w:color="auto" w:sz="4" w:space="0"/>
            </w:tcBorders>
            <w:shd w:val="clear" w:color="auto" w:fill="BFBFBF"/>
            <w:vAlign w:val="center"/>
          </w:tcPr>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货物名称</w:t>
            </w:r>
          </w:p>
        </w:tc>
        <w:tc>
          <w:tcPr>
            <w:tcW w:w="268" w:type="pct"/>
            <w:tcBorders>
              <w:top w:val="single" w:color="auto" w:sz="4" w:space="0"/>
              <w:left w:val="single" w:color="auto" w:sz="4" w:space="0"/>
              <w:bottom w:val="single" w:color="auto" w:sz="4" w:space="0"/>
              <w:right w:val="single" w:color="auto" w:sz="4" w:space="0"/>
            </w:tcBorders>
            <w:shd w:val="clear" w:color="auto" w:fill="BFBFBF"/>
            <w:vAlign w:val="center"/>
          </w:tcPr>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单位</w:t>
            </w:r>
          </w:p>
        </w:tc>
        <w:tc>
          <w:tcPr>
            <w:tcW w:w="338" w:type="pct"/>
            <w:tcBorders>
              <w:top w:val="single" w:color="auto" w:sz="4" w:space="0"/>
              <w:left w:val="single" w:color="auto" w:sz="4" w:space="0"/>
              <w:bottom w:val="single" w:color="auto" w:sz="4" w:space="0"/>
              <w:right w:val="single" w:color="auto" w:sz="4" w:space="0"/>
            </w:tcBorders>
            <w:shd w:val="clear" w:color="auto" w:fill="BFBFBF"/>
            <w:vAlign w:val="center"/>
          </w:tcPr>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3147" w:type="pct"/>
            <w:tcBorders>
              <w:top w:val="single" w:color="auto" w:sz="4" w:space="0"/>
              <w:left w:val="single" w:color="auto" w:sz="4" w:space="0"/>
              <w:bottom w:val="single" w:color="auto" w:sz="4" w:space="0"/>
              <w:right w:val="single" w:color="auto" w:sz="4" w:space="0"/>
            </w:tcBorders>
            <w:shd w:val="clear" w:color="auto" w:fill="BFBFBF"/>
            <w:vAlign w:val="center"/>
          </w:tcPr>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技术指标、参数</w:t>
            </w:r>
          </w:p>
        </w:tc>
        <w:tc>
          <w:tcPr>
            <w:tcW w:w="978" w:type="pct"/>
            <w:tcBorders>
              <w:top w:val="single" w:color="auto" w:sz="4" w:space="0"/>
              <w:left w:val="single" w:color="auto" w:sz="4" w:space="0"/>
              <w:bottom w:val="single" w:color="auto" w:sz="4" w:space="0"/>
              <w:right w:val="single" w:color="auto" w:sz="4" w:space="0"/>
            </w:tcBorders>
            <w:shd w:val="clear" w:color="auto" w:fill="BFBFBF"/>
            <w:vAlign w:val="center"/>
          </w:tcPr>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6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手动密集书架</w:t>
            </w:r>
          </w:p>
        </w:tc>
        <w:tc>
          <w:tcPr>
            <w:tcW w:w="26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节</w:t>
            </w:r>
          </w:p>
        </w:tc>
        <w:tc>
          <w:tcPr>
            <w:tcW w:w="33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606</w:t>
            </w:r>
          </w:p>
        </w:tc>
        <w:tc>
          <w:tcPr>
            <w:tcW w:w="3147" w:type="pct"/>
            <w:tcBorders>
              <w:top w:val="single" w:color="auto" w:sz="4" w:space="0"/>
              <w:left w:val="single" w:color="auto" w:sz="4" w:space="0"/>
              <w:bottom w:val="single" w:color="auto" w:sz="4" w:space="0"/>
              <w:right w:val="single" w:color="auto" w:sz="4" w:space="0"/>
            </w:tcBorders>
            <w:vAlign w:val="center"/>
          </w:tcPr>
          <w:p>
            <w:pPr>
              <w:tabs>
                <w:tab w:val="left" w:pos="2640"/>
              </w:tabs>
              <w:snapToGrid w:val="0"/>
              <w:spacing w:before="156" w:beforeLines="50"/>
              <w:ind w:firstLine="495"/>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密集架产品依据国家档案局DA/T7-92《直列式档案密集架行业标准》和GB/T13667.3-2013《钢制书架第3部分:手动密集书架》、GB/T13667.4-2013《钢制书架第4部分:电动密集书架》。</w:t>
            </w:r>
          </w:p>
          <w:p>
            <w:pPr>
              <w:tabs>
                <w:tab w:val="left" w:pos="2640"/>
              </w:tabs>
              <w:snapToGrid w:val="0"/>
              <w:spacing w:before="156" w:beforeLines="50"/>
              <w:ind w:firstLine="495"/>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1.产品检测要求</w:t>
            </w:r>
          </w:p>
          <w:p>
            <w:pPr>
              <w:tabs>
                <w:tab w:val="left" w:pos="2640"/>
              </w:tabs>
              <w:snapToGrid w:val="0"/>
              <w:spacing w:before="156" w:beforeLines="50"/>
              <w:ind w:firstLine="495"/>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△提供国家承认的检测机构出具的手动密集架检测报告。</w:t>
            </w:r>
          </w:p>
          <w:p>
            <w:pPr>
              <w:tabs>
                <w:tab w:val="left" w:pos="2640"/>
              </w:tabs>
              <w:snapToGrid w:val="0"/>
              <w:spacing w:before="156" w:beforeLines="50"/>
              <w:ind w:firstLine="420" w:firstLineChars="200"/>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检测结论必须合格。</w:t>
            </w:r>
            <w:r>
              <w:rPr>
                <w:rFonts w:hint="eastAsia" w:ascii="仿宋" w:hAnsi="仿宋" w:eastAsia="仿宋" w:cs="仿宋"/>
                <w:color w:val="auto"/>
                <w:szCs w:val="21"/>
                <w:highlight w:val="none"/>
                <w:lang w:eastAsia="zh-CN"/>
              </w:rPr>
              <w:t>响应文件</w:t>
            </w:r>
            <w:r>
              <w:rPr>
                <w:rFonts w:hint="eastAsia" w:ascii="仿宋" w:hAnsi="仿宋" w:eastAsia="仿宋" w:cs="仿宋"/>
                <w:color w:val="auto"/>
                <w:szCs w:val="21"/>
                <w:highlight w:val="none"/>
              </w:rPr>
              <w:t>中提供互联网或者相关信息系统查询的网址及检验检测报告复印件；如检测报告未能在互联网或者相关信息系统查询相关信息及检测指标等内容的，必须持检测报告原件现场备查。</w:t>
            </w:r>
          </w:p>
          <w:p>
            <w:pPr>
              <w:tabs>
                <w:tab w:val="left" w:pos="2640"/>
              </w:tabs>
              <w:snapToGrid w:val="0"/>
              <w:spacing w:before="156" w:beforeLines="50"/>
              <w:ind w:firstLine="422" w:firstLineChars="200"/>
              <w:jc w:val="left"/>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2.结构性能及特点</w:t>
            </w:r>
          </w:p>
          <w:p>
            <w:pPr>
              <w:numPr>
                <w:ilvl w:val="0"/>
                <w:numId w:val="1"/>
              </w:numPr>
              <w:autoSpaceDE w:val="0"/>
              <w:autoSpaceDN w:val="0"/>
              <w:adjustRightInd w:val="0"/>
              <w:snapToGrid w:val="0"/>
              <w:spacing w:before="156" w:beforeLines="50"/>
              <w:ind w:left="0" w:firstLine="4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kern w:val="0"/>
                <w:szCs w:val="21"/>
                <w:highlight w:val="none"/>
              </w:rPr>
              <w:t>总体要求：冷轧钢板标准为GB708，热轧钢板标准为GB711。技术标准符合GB11253-2007、GB/T13667.1-2015中的要求，材质为Q195-235，材料厚度按国家行业标准执行，确保密集架各项性能指标达到国家标准；密集架所用钢板均系国内优质钢板。密集架主要由底盘、立柱、搁板、侧面板、门板及传动机构、磁性缓冲装置、防尘、防鼠装置、地轨等部分组成，架顶设有防尘装置及主动式顶部联合防地震装置，具有良好的防尘及抗震功能；架体为拆装式组合结构，节与节之间以立柱区分。产品设有安全限位，每列密集架均安装防倒装置和档块。每列接触面均装有磁性缓冲密封装置，顶部装有防尘板，底部有防鼠装置，具有良好的防尘、抗震、防鼠、防潮、防光、防盗功能；传动机构采用中轴带动边轴驱动模式，配合精度高，定位可靠。传动轻便灵活，摇力轻，运行平衡，性能达到和超过国家标准，链条采用精密滚子摩托车链条。</w:t>
            </w:r>
          </w:p>
          <w:p>
            <w:pPr>
              <w:numPr>
                <w:ilvl w:val="0"/>
                <w:numId w:val="1"/>
              </w:numPr>
              <w:autoSpaceDE w:val="0"/>
              <w:autoSpaceDN w:val="0"/>
              <w:adjustRightInd w:val="0"/>
              <w:snapToGrid w:val="0"/>
              <w:spacing w:before="156" w:beforeLines="50"/>
              <w:ind w:left="0" w:firstLine="4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kern w:val="0"/>
                <w:szCs w:val="21"/>
                <w:highlight w:val="none"/>
              </w:rPr>
              <w:t>底盘和轨道座选用3.0mm热轧钢板。轨道座采用单边三拆弯，导轨选用20*20mm实心方钢。轨道座及轨道采用地下式安装。</w:t>
            </w:r>
          </w:p>
          <w:p>
            <w:pPr>
              <w:numPr>
                <w:ilvl w:val="0"/>
                <w:numId w:val="1"/>
              </w:numPr>
              <w:autoSpaceDE w:val="0"/>
              <w:autoSpaceDN w:val="0"/>
              <w:adjustRightInd w:val="0"/>
              <w:snapToGrid w:val="0"/>
              <w:spacing w:before="156" w:beforeLines="50"/>
              <w:ind w:left="0" w:firstLine="4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kern w:val="0"/>
                <w:szCs w:val="21"/>
                <w:highlight w:val="none"/>
              </w:rPr>
              <w:t>底架部分横纵梁、轮架、底盘均采用3.0mm热轧钢板。底盘采用分段焊接后整体组装式，连接牢固、运输、安装方便，底盘各段连接采用螺栓紧固，纵梁上按节距冲有矩形槽，槽下焊有夹紧板。滚轮横梁采用四折成形，确保在外力作用下无任何变形情况发生。底梁下部装有防倒支架以防架体倾倒。底盘两端封头横梁与纵梁牢固焊接，在直角处上、下两平面均焊上三角形加强板，有效保证了底盘架体不扭曲、错位和变形等。</w:t>
            </w:r>
          </w:p>
          <w:p>
            <w:pPr>
              <w:numPr>
                <w:ilvl w:val="0"/>
                <w:numId w:val="1"/>
              </w:numPr>
              <w:autoSpaceDE w:val="0"/>
              <w:autoSpaceDN w:val="0"/>
              <w:adjustRightInd w:val="0"/>
              <w:snapToGrid w:val="0"/>
              <w:spacing w:before="156" w:beforeLines="50"/>
              <w:ind w:left="0" w:firstLine="4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kern w:val="0"/>
                <w:szCs w:val="21"/>
                <w:highlight w:val="none"/>
              </w:rPr>
              <w:t>立柱选用1.5mm优质冷轧钢板，架体为双柱插入式，支柱结构合理，每根立柱必须插入底盘，并与底盘进行连接以增加稳定性，立柱两面均布冲裁可上、下调节的挂孔，为增加立柱强度，保证立柱不会出现明显变形的现象，，坚固合理，美观大方，永久不变形。</w:t>
            </w:r>
          </w:p>
          <w:p>
            <w:pPr>
              <w:numPr>
                <w:ilvl w:val="0"/>
                <w:numId w:val="1"/>
              </w:numPr>
              <w:autoSpaceDE w:val="0"/>
              <w:autoSpaceDN w:val="0"/>
              <w:adjustRightInd w:val="0"/>
              <w:snapToGrid w:val="0"/>
              <w:spacing w:before="156" w:beforeLines="50"/>
              <w:ind w:left="0" w:firstLine="4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kern w:val="0"/>
                <w:szCs w:val="21"/>
                <w:highlight w:val="none"/>
              </w:rPr>
              <w:t>搁板选用1.2mm优质冷轧钢板,每块搁板正面冲压两条加强筋,增加其承载力。</w:t>
            </w:r>
          </w:p>
          <w:p>
            <w:pPr>
              <w:numPr>
                <w:ilvl w:val="0"/>
                <w:numId w:val="1"/>
              </w:numPr>
              <w:autoSpaceDE w:val="0"/>
              <w:autoSpaceDN w:val="0"/>
              <w:adjustRightInd w:val="0"/>
              <w:snapToGrid w:val="0"/>
              <w:spacing w:before="156" w:beforeLines="50"/>
              <w:ind w:left="0" w:firstLine="4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kern w:val="0"/>
                <w:szCs w:val="21"/>
                <w:highlight w:val="none"/>
              </w:rPr>
              <w:t>挂板选用1.2mm优质冷轧钢板,两边冲加强筋，增加其承载力。</w:t>
            </w:r>
          </w:p>
          <w:p>
            <w:pPr>
              <w:numPr>
                <w:ilvl w:val="0"/>
                <w:numId w:val="1"/>
              </w:numPr>
              <w:autoSpaceDE w:val="0"/>
              <w:autoSpaceDN w:val="0"/>
              <w:adjustRightInd w:val="0"/>
              <w:snapToGrid w:val="0"/>
              <w:spacing w:before="156" w:beforeLines="50"/>
              <w:ind w:left="0" w:firstLine="4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kern w:val="0"/>
                <w:szCs w:val="21"/>
                <w:highlight w:val="none"/>
              </w:rPr>
              <w:t>侧护板：选用1.0mm冷轧钢板，美观大方，压制花纹美观大方。</w:t>
            </w:r>
          </w:p>
          <w:p>
            <w:pPr>
              <w:numPr>
                <w:ilvl w:val="0"/>
                <w:numId w:val="1"/>
              </w:numPr>
              <w:autoSpaceDE w:val="0"/>
              <w:autoSpaceDN w:val="0"/>
              <w:adjustRightInd w:val="0"/>
              <w:snapToGrid w:val="0"/>
              <w:spacing w:before="156" w:beforeLines="50"/>
              <w:ind w:left="0" w:firstLine="4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kern w:val="0"/>
                <w:szCs w:val="21"/>
                <w:highlight w:val="none"/>
              </w:rPr>
              <w:t>门板：选用1.0mm冷轧钢板，美观大方，门板正面压制压制花纹美观大方。右门上装有密集架专用锁，组装后缝隙均匀，锁定紧密，开启灵活。门面锁能够顺时、逆时针旋转45°，开关方便、定位准确，锁具损坏等情况下，能够直接更换锁具，不需用电钻、钳子、螺丝刀等工具。</w:t>
            </w:r>
          </w:p>
          <w:p>
            <w:pPr>
              <w:numPr>
                <w:ilvl w:val="0"/>
                <w:numId w:val="1"/>
              </w:numPr>
              <w:autoSpaceDE w:val="0"/>
              <w:autoSpaceDN w:val="0"/>
              <w:adjustRightInd w:val="0"/>
              <w:snapToGrid w:val="0"/>
              <w:spacing w:before="156" w:beforeLines="50"/>
              <w:ind w:left="0" w:firstLine="4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▲挡棒、门框都采用1.0mm冷轧钢板。</w:t>
            </w:r>
          </w:p>
          <w:p>
            <w:pPr>
              <w:numPr>
                <w:ilvl w:val="0"/>
                <w:numId w:val="1"/>
              </w:numPr>
              <w:tabs>
                <w:tab w:val="left" w:pos="0"/>
              </w:tabs>
              <w:autoSpaceDE w:val="0"/>
              <w:autoSpaceDN w:val="0"/>
              <w:adjustRightInd w:val="0"/>
              <w:snapToGrid w:val="0"/>
              <w:spacing w:before="156" w:beforeLines="50"/>
              <w:ind w:left="0" w:firstLine="4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kern w:val="0"/>
                <w:szCs w:val="21"/>
                <w:highlight w:val="none"/>
              </w:rPr>
              <w:t>摇手柄摇动轻便，使用过程中不会产生响声响及噪音；带动架体运行时，靠内部设计的凸轮运动工作原理，使用圆柱体滚珠必须安全可靠地带动架体运行，在满负载情况下能保持轻便、灵活、平稳、无失灵现像；采用双轴传动装置，每标准节手动摇力应不大于11.8N。</w:t>
            </w:r>
          </w:p>
          <w:p>
            <w:pPr>
              <w:numPr>
                <w:ilvl w:val="0"/>
                <w:numId w:val="1"/>
              </w:numPr>
              <w:tabs>
                <w:tab w:val="left" w:pos="0"/>
              </w:tabs>
              <w:autoSpaceDE w:val="0"/>
              <w:autoSpaceDN w:val="0"/>
              <w:adjustRightInd w:val="0"/>
              <w:snapToGrid w:val="0"/>
              <w:spacing w:before="156" w:beforeLines="50"/>
              <w:ind w:left="0" w:firstLine="426"/>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主动式顶部联合防地震装置：每列均装有主动式顶部联合防地震装置，当架体在闭合后，启动该装置使整个区域内的架体联合成一个整体，确保密集架在9度设防地震下是安全的。</w:t>
            </w:r>
          </w:p>
          <w:p>
            <w:pPr>
              <w:numPr>
                <w:ilvl w:val="0"/>
                <w:numId w:val="1"/>
              </w:numPr>
              <w:tabs>
                <w:tab w:val="left" w:pos="0"/>
              </w:tabs>
              <w:autoSpaceDE w:val="0"/>
              <w:autoSpaceDN w:val="0"/>
              <w:adjustRightInd w:val="0"/>
              <w:snapToGrid w:val="0"/>
              <w:spacing w:before="156" w:beforeLines="50"/>
              <w:ind w:left="0" w:firstLine="4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kern w:val="0"/>
                <w:szCs w:val="21"/>
                <w:highlight w:val="none"/>
              </w:rPr>
              <w:t>顶板、防尘板：采用1.0mm冷轧钢板。顶板采用螺栓固定于立柱上端，防尘板采用螺栓或铆接工艺固定。顶板和防尘板既能加强架体的整体刚性又能起到防尘、防水的作用。</w:t>
            </w:r>
          </w:p>
          <w:p>
            <w:pPr>
              <w:numPr>
                <w:ilvl w:val="0"/>
                <w:numId w:val="1"/>
              </w:numPr>
              <w:tabs>
                <w:tab w:val="left" w:pos="0"/>
              </w:tabs>
              <w:autoSpaceDE w:val="0"/>
              <w:autoSpaceDN w:val="0"/>
              <w:adjustRightInd w:val="0"/>
              <w:snapToGrid w:val="0"/>
              <w:spacing w:before="156" w:beforeLines="50"/>
              <w:ind w:left="0" w:firstLine="4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密封条：双磁性双边型固定一体式高强度橡胶密封条，外形尺寸宽20mm，厚度20mm，双磁性密封条中段采用四连体减震蜂窝结构，提升了密封条减震性能，前段自带双磁性矩形条，吸附能力更强，密集架合拢后，封闭性好。每列接触面均有缓冲及密封条，使架体具有良好的防震、防尘、防鼠、防光、防潮、防火功能。</w:t>
            </w:r>
          </w:p>
          <w:p>
            <w:pPr>
              <w:numPr>
                <w:ilvl w:val="0"/>
                <w:numId w:val="1"/>
              </w:numPr>
              <w:tabs>
                <w:tab w:val="left" w:pos="0"/>
              </w:tabs>
              <w:autoSpaceDE w:val="0"/>
              <w:autoSpaceDN w:val="0"/>
              <w:adjustRightInd w:val="0"/>
              <w:snapToGrid w:val="0"/>
              <w:spacing w:before="156" w:beforeLines="50"/>
              <w:ind w:left="0" w:firstLine="4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▲防倒装置：3.0mm优质冷轧钢板。</w:t>
            </w:r>
          </w:p>
          <w:p>
            <w:pPr>
              <w:numPr>
                <w:ilvl w:val="0"/>
                <w:numId w:val="1"/>
              </w:numPr>
              <w:tabs>
                <w:tab w:val="left" w:pos="0"/>
              </w:tabs>
              <w:autoSpaceDE w:val="0"/>
              <w:autoSpaceDN w:val="0"/>
              <w:adjustRightInd w:val="0"/>
              <w:snapToGrid w:val="0"/>
              <w:spacing w:before="156" w:beforeLines="50"/>
              <w:ind w:left="0" w:firstLine="4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▲双面固定书架，外观（侧面板、喷涂颜色等）同手动密集书架。隔板要求底部有加强筋，单层承重140kg以上。</w:t>
            </w:r>
          </w:p>
          <w:p>
            <w:pPr>
              <w:tabs>
                <w:tab w:val="left" w:pos="2640"/>
              </w:tabs>
              <w:snapToGrid w:val="0"/>
              <w:spacing w:before="156" w:beforeLines="50"/>
              <w:ind w:firstLine="460" w:firstLineChars="218"/>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3.</w:t>
            </w:r>
            <w:r>
              <w:rPr>
                <w:rFonts w:hint="eastAsia" w:ascii="仿宋" w:hAnsi="仿宋" w:eastAsia="仿宋" w:cs="仿宋"/>
                <w:color w:val="auto"/>
                <w:szCs w:val="21"/>
                <w:highlight w:val="none"/>
              </w:rPr>
              <w:t>▲</w:t>
            </w:r>
            <w:r>
              <w:rPr>
                <w:rFonts w:hint="eastAsia" w:ascii="仿宋" w:hAnsi="仿宋" w:eastAsia="仿宋" w:cs="仿宋"/>
                <w:b/>
                <w:color w:val="auto"/>
                <w:szCs w:val="21"/>
                <w:highlight w:val="none"/>
              </w:rPr>
              <w:t>制造工差及安装：</w:t>
            </w:r>
            <w:r>
              <w:rPr>
                <w:rFonts w:hint="eastAsia" w:ascii="仿宋" w:hAnsi="仿宋" w:eastAsia="仿宋" w:cs="仿宋"/>
                <w:color w:val="auto"/>
                <w:szCs w:val="21"/>
                <w:highlight w:val="none"/>
              </w:rPr>
              <w:t>每标准节组装后，外廓尺寸（长、宽、高）的极限偏差为±2mm； 每标准节组装后，侧护板间隙小于2mm； 轨道安装后，其平行度的偏差不大于1mm/m，全长不大于2mm；同一截面上的平行度的偏差不大于1mm/m，全长不大于2mm； 每两条轨道的平行度偏差为小于2mm；导轨对接处高低差不大于0.3mm；由段组成的底梁装配后的直线度不大于0.5mm/m，全长不大于2mm。架体安装调试后，要求达到横平竖直，架体摇动轻便无阻力和响声，架体干净整洁。箱体平行度：±1～2毫米／列。箱体垂直度：±1～2毫米／列。箱体纵向同步度：±1～2毫米／列。</w:t>
            </w:r>
          </w:p>
          <w:p>
            <w:pPr>
              <w:tabs>
                <w:tab w:val="left" w:pos="2640"/>
              </w:tabs>
              <w:snapToGrid w:val="0"/>
              <w:spacing w:before="156" w:beforeLines="50"/>
              <w:rPr>
                <w:rFonts w:hint="eastAsia" w:ascii="仿宋" w:hAnsi="仿宋" w:eastAsia="仿宋" w:cs="仿宋"/>
                <w:color w:val="auto"/>
                <w:szCs w:val="21"/>
                <w:highlight w:val="none"/>
              </w:rPr>
            </w:pPr>
            <w:r>
              <w:rPr>
                <w:rFonts w:hint="eastAsia" w:ascii="仿宋" w:hAnsi="仿宋" w:eastAsia="仿宋" w:cs="仿宋"/>
                <w:color w:val="auto"/>
                <w:szCs w:val="21"/>
                <w:highlight w:val="none"/>
              </w:rPr>
              <w:t>零件的未注公差尺寸的极限偏差按GB1804中IT13-14。</w:t>
            </w:r>
          </w:p>
          <w:p>
            <w:pPr>
              <w:tabs>
                <w:tab w:val="left" w:pos="2640"/>
              </w:tabs>
              <w:snapToGrid w:val="0"/>
              <w:spacing w:before="312" w:beforeLines="100"/>
              <w:ind w:firstLine="482"/>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4. 制造加工：</w:t>
            </w:r>
            <w:r>
              <w:rPr>
                <w:rFonts w:hint="eastAsia" w:ascii="仿宋" w:hAnsi="仿宋" w:eastAsia="仿宋" w:cs="仿宋"/>
                <w:color w:val="auto"/>
                <w:szCs w:val="21"/>
                <w:highlight w:val="none"/>
              </w:rPr>
              <w:t>所有钣金件，机加工后打磨毛刺、无裂缝、无伤痕；所有焊接件，焊接牢固，焊痕光滑、平整；在一个组合之间的产品零部件能保持互换性。</w:t>
            </w:r>
          </w:p>
          <w:p>
            <w:pPr>
              <w:tabs>
                <w:tab w:val="left" w:pos="2640"/>
              </w:tabs>
              <w:snapToGrid w:val="0"/>
              <w:spacing w:before="156" w:beforeLines="50"/>
              <w:ind w:firstLine="48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5.传动装置</w:t>
            </w:r>
          </w:p>
          <w:p>
            <w:pPr>
              <w:tabs>
                <w:tab w:val="left" w:pos="2640"/>
              </w:tabs>
              <w:snapToGrid w:val="0"/>
              <w:spacing w:before="156" w:beforeLines="5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传动机构转动灵活、平稳、手动之间自由切换，没有失灵现象。传动部件要求：</w:t>
            </w:r>
          </w:p>
          <w:p>
            <w:pPr>
              <w:numPr>
                <w:ilvl w:val="0"/>
                <w:numId w:val="2"/>
              </w:numPr>
              <w:snapToGrid w:val="0"/>
              <w:spacing w:before="156" w:beforeLines="50"/>
              <w:ind w:left="0" w:firstLine="426"/>
              <w:rPr>
                <w:rFonts w:hint="eastAsia" w:ascii="仿宋" w:hAnsi="仿宋" w:eastAsia="仿宋" w:cs="仿宋"/>
                <w:color w:val="auto"/>
                <w:szCs w:val="21"/>
                <w:highlight w:val="none"/>
              </w:rPr>
            </w:pPr>
            <w:r>
              <w:rPr>
                <w:rFonts w:hint="eastAsia" w:ascii="仿宋" w:hAnsi="仿宋" w:eastAsia="仿宋" w:cs="仿宋"/>
                <w:color w:val="auto"/>
                <w:szCs w:val="21"/>
                <w:highlight w:val="none"/>
              </w:rPr>
              <w:t>手柄：光滑、美观、牢固。使用时灵活轻便，无空转停滞现象。</w:t>
            </w:r>
          </w:p>
          <w:p>
            <w:pPr>
              <w:numPr>
                <w:ilvl w:val="0"/>
                <w:numId w:val="2"/>
              </w:numPr>
              <w:snapToGrid w:val="0"/>
              <w:spacing w:before="156" w:beforeLines="50"/>
              <w:ind w:left="0" w:firstLine="426"/>
              <w:rPr>
                <w:rFonts w:hint="eastAsia" w:ascii="仿宋" w:hAnsi="仿宋" w:eastAsia="仿宋" w:cs="仿宋"/>
                <w:color w:val="auto"/>
                <w:szCs w:val="21"/>
                <w:highlight w:val="none"/>
              </w:rPr>
            </w:pPr>
            <w:r>
              <w:rPr>
                <w:rFonts w:hint="eastAsia" w:ascii="仿宋" w:hAnsi="仿宋" w:eastAsia="仿宋" w:cs="仿宋"/>
                <w:color w:val="auto"/>
                <w:szCs w:val="21"/>
                <w:highlight w:val="none"/>
              </w:rPr>
              <w:t>▲传动轴：采用45#实心圆钢，直径20mm，加工精度3.2，经热处理调质HB220~290。</w:t>
            </w:r>
          </w:p>
          <w:p>
            <w:pPr>
              <w:numPr>
                <w:ilvl w:val="0"/>
                <w:numId w:val="2"/>
              </w:numPr>
              <w:snapToGrid w:val="0"/>
              <w:spacing w:before="156" w:beforeLines="50"/>
              <w:ind w:left="0" w:firstLine="426"/>
              <w:rPr>
                <w:rFonts w:hint="eastAsia" w:ascii="仿宋" w:hAnsi="仿宋" w:eastAsia="仿宋" w:cs="仿宋"/>
                <w:color w:val="auto"/>
                <w:szCs w:val="21"/>
                <w:highlight w:val="none"/>
              </w:rPr>
            </w:pPr>
            <w:r>
              <w:rPr>
                <w:rFonts w:hint="eastAsia" w:ascii="仿宋" w:hAnsi="仿宋" w:eastAsia="仿宋" w:cs="仿宋"/>
                <w:color w:val="auto"/>
                <w:szCs w:val="21"/>
                <w:highlight w:val="none"/>
              </w:rPr>
              <w:t>▲链轮：采用45#钢，引用GB1244-84（3R齿型）标准，经锻压加工成型，回火去除应力，加工车、滚齿、插键槽、去毛齿、齿部经高频淬火HRC60-62。</w:t>
            </w:r>
          </w:p>
          <w:p>
            <w:pPr>
              <w:numPr>
                <w:ilvl w:val="0"/>
                <w:numId w:val="2"/>
              </w:numPr>
              <w:snapToGrid w:val="0"/>
              <w:spacing w:before="156" w:beforeLines="50"/>
              <w:ind w:left="0" w:firstLine="426"/>
              <w:rPr>
                <w:rFonts w:hint="eastAsia" w:ascii="仿宋" w:hAnsi="仿宋" w:eastAsia="仿宋" w:cs="仿宋"/>
                <w:color w:val="auto"/>
                <w:szCs w:val="21"/>
                <w:highlight w:val="none"/>
              </w:rPr>
            </w:pPr>
            <w:r>
              <w:rPr>
                <w:rFonts w:hint="eastAsia" w:ascii="仿宋" w:hAnsi="仿宋" w:eastAsia="仿宋" w:cs="仿宋"/>
                <w:color w:val="auto"/>
                <w:szCs w:val="21"/>
                <w:highlight w:val="none"/>
              </w:rPr>
              <w:t>▲轴承：采用E级，P204托架双排滚珠轴承。</w:t>
            </w:r>
          </w:p>
          <w:p>
            <w:pPr>
              <w:numPr>
                <w:ilvl w:val="0"/>
                <w:numId w:val="2"/>
              </w:numPr>
              <w:snapToGrid w:val="0"/>
              <w:spacing w:before="156" w:beforeLines="50"/>
              <w:ind w:left="0" w:firstLine="426"/>
              <w:rPr>
                <w:rFonts w:hint="eastAsia" w:ascii="仿宋" w:hAnsi="仿宋" w:eastAsia="仿宋" w:cs="仿宋"/>
                <w:color w:val="auto"/>
                <w:szCs w:val="21"/>
                <w:highlight w:val="none"/>
              </w:rPr>
            </w:pPr>
            <w:r>
              <w:rPr>
                <w:rFonts w:hint="eastAsia" w:ascii="仿宋" w:hAnsi="仿宋" w:eastAsia="仿宋" w:cs="仿宋"/>
                <w:color w:val="auto"/>
                <w:szCs w:val="21"/>
                <w:highlight w:val="none"/>
              </w:rPr>
              <w:t>▲链条：链条采用摩托车链条，</w:t>
            </w:r>
            <w:r>
              <w:rPr>
                <w:rFonts w:hint="eastAsia" w:ascii="仿宋" w:hAnsi="仿宋" w:eastAsia="仿宋" w:cs="仿宋"/>
                <w:bCs/>
                <w:color w:val="auto"/>
                <w:szCs w:val="21"/>
                <w:highlight w:val="none"/>
              </w:rPr>
              <w:t>B系列08B-1，</w:t>
            </w:r>
            <w:r>
              <w:rPr>
                <w:rFonts w:hint="eastAsia" w:ascii="仿宋" w:hAnsi="仿宋" w:eastAsia="仿宋" w:cs="仿宋"/>
                <w:color w:val="auto"/>
                <w:szCs w:val="21"/>
                <w:highlight w:val="none"/>
              </w:rPr>
              <w:t>节距12.7。</w:t>
            </w:r>
          </w:p>
          <w:p>
            <w:pPr>
              <w:numPr>
                <w:ilvl w:val="0"/>
                <w:numId w:val="2"/>
              </w:numPr>
              <w:snapToGrid w:val="0"/>
              <w:spacing w:before="156" w:beforeLines="50"/>
              <w:ind w:left="0" w:firstLine="426"/>
              <w:rPr>
                <w:rFonts w:hint="eastAsia" w:ascii="仿宋" w:hAnsi="仿宋" w:eastAsia="仿宋" w:cs="仿宋"/>
                <w:color w:val="auto"/>
                <w:szCs w:val="21"/>
                <w:highlight w:val="none"/>
              </w:rPr>
            </w:pPr>
            <w:r>
              <w:rPr>
                <w:rFonts w:hint="eastAsia" w:ascii="仿宋" w:hAnsi="仿宋" w:eastAsia="仿宋" w:cs="仿宋"/>
                <w:color w:val="auto"/>
                <w:szCs w:val="21"/>
                <w:highlight w:val="none"/>
              </w:rPr>
              <w:t>▲滚轮：采用HT15-33，铸铁，经加工成型。</w:t>
            </w:r>
          </w:p>
          <w:p>
            <w:pPr>
              <w:numPr>
                <w:ilvl w:val="0"/>
                <w:numId w:val="2"/>
              </w:numPr>
              <w:snapToGrid w:val="0"/>
              <w:spacing w:before="156" w:beforeLines="50"/>
              <w:ind w:left="0" w:firstLine="426"/>
              <w:rPr>
                <w:rFonts w:hint="eastAsia" w:ascii="仿宋" w:hAnsi="仿宋" w:eastAsia="仿宋" w:cs="仿宋"/>
                <w:color w:val="auto"/>
                <w:szCs w:val="21"/>
                <w:highlight w:val="none"/>
              </w:rPr>
            </w:pPr>
            <w:r>
              <w:rPr>
                <w:rFonts w:hint="eastAsia" w:ascii="仿宋" w:hAnsi="仿宋" w:eastAsia="仿宋" w:cs="仿宋"/>
                <w:color w:val="auto"/>
                <w:szCs w:val="21"/>
                <w:highlight w:val="none"/>
              </w:rPr>
              <w:t>轨道：采用45#钢，冷轧方钢，20×20mm实心方钢。</w:t>
            </w:r>
          </w:p>
          <w:p>
            <w:pPr>
              <w:numPr>
                <w:ilvl w:val="0"/>
                <w:numId w:val="2"/>
              </w:numPr>
              <w:snapToGrid w:val="0"/>
              <w:spacing w:before="156" w:beforeLines="50"/>
              <w:ind w:left="0" w:firstLine="426"/>
              <w:rPr>
                <w:rFonts w:hint="eastAsia" w:ascii="仿宋" w:hAnsi="仿宋" w:eastAsia="仿宋" w:cs="仿宋"/>
                <w:color w:val="auto"/>
                <w:szCs w:val="21"/>
                <w:highlight w:val="none"/>
              </w:rPr>
            </w:pPr>
            <w:r>
              <w:rPr>
                <w:rFonts w:hint="eastAsia" w:ascii="仿宋" w:hAnsi="仿宋" w:eastAsia="仿宋" w:cs="仿宋"/>
                <w:color w:val="auto"/>
                <w:szCs w:val="21"/>
                <w:highlight w:val="none"/>
              </w:rPr>
              <w:t>▲连接管：采用ф25无缝钢管。</w:t>
            </w:r>
          </w:p>
          <w:p>
            <w:pPr>
              <w:tabs>
                <w:tab w:val="left" w:pos="2640"/>
              </w:tabs>
              <w:snapToGrid w:val="0"/>
              <w:spacing w:before="156" w:beforeLines="50"/>
              <w:ind w:left="671" w:leftChars="202" w:hanging="247" w:hangingChars="117"/>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6. 载重性能要求</w:t>
            </w:r>
          </w:p>
          <w:p>
            <w:pPr>
              <w:tabs>
                <w:tab w:val="left" w:pos="2640"/>
              </w:tabs>
              <w:snapToGrid w:val="0"/>
              <w:spacing w:before="156" w:beforeLines="5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1）▲搁板单面均布载重40kg，双面均布载80kg，最大挠度为小于4mm。24h卸载后，搁板没有裂缝，残余变形量不大于0.3mm。</w:t>
            </w:r>
          </w:p>
          <w:p>
            <w:pPr>
              <w:tabs>
                <w:tab w:val="left" w:pos="2640"/>
              </w:tabs>
              <w:snapToGrid w:val="0"/>
              <w:spacing w:before="156" w:beforeLines="5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标准节（六层双面搁板）在全负载（每块单面搁板均布载重40kg）的情况下，架体、立柱没有明显变形，架体不会产生倾倒现象。全负载的情况下，各列在手动操纵下运行自如，没有阻滞现象。每标准节手动摇力不大于12N。</w:t>
            </w:r>
          </w:p>
          <w:p>
            <w:pPr>
              <w:tabs>
                <w:tab w:val="left" w:pos="2640"/>
              </w:tabs>
              <w:snapToGrid w:val="0"/>
              <w:spacing w:before="156" w:beforeLines="5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3)▲在受全部载荷1/20外力（沿X、Y轴两个方向的水平外力）的作用反复100次后，取消外力，架体所产生的倾斜不大于总高的1%，支架、立柱没有明显的变形。</w:t>
            </w:r>
          </w:p>
          <w:p>
            <w:pPr>
              <w:tabs>
                <w:tab w:val="left" w:pos="2640"/>
              </w:tabs>
              <w:snapToGrid w:val="0"/>
              <w:spacing w:before="156" w:beforeLines="50"/>
              <w:ind w:firstLine="480"/>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7.表面喷涂材料要求</w:t>
            </w:r>
          </w:p>
          <w:p>
            <w:pPr>
              <w:tabs>
                <w:tab w:val="left" w:pos="2640"/>
              </w:tabs>
              <w:snapToGrid w:val="0"/>
              <w:spacing w:before="156" w:beforeLines="50"/>
              <w:ind w:firstLine="480"/>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符合GB-1720、1732、1734标准。</w:t>
            </w:r>
          </w:p>
          <w:p>
            <w:pPr>
              <w:tabs>
                <w:tab w:val="left" w:pos="2640"/>
              </w:tabs>
              <w:snapToGrid w:val="0"/>
              <w:spacing w:before="156" w:beforeLines="5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1）除油、去锈处理工艺：</w:t>
            </w:r>
          </w:p>
          <w:p>
            <w:pPr>
              <w:tabs>
                <w:tab w:val="left" w:pos="2640"/>
              </w:tabs>
              <w:snapToGrid w:val="0"/>
              <w:spacing w:before="156" w:beforeLines="5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所有工件表面的油污、锈斑及氧化层，经化学法清除脱脂后，没有油脂、浮浊液等污物，其表面被水完全浸湿。酸洗后的工件，没有目视可见的氧化物、锈斑等腐蚀现象，其表面色泽基本均匀。</w:t>
            </w:r>
          </w:p>
          <w:p>
            <w:pPr>
              <w:tabs>
                <w:tab w:val="left" w:pos="2640"/>
              </w:tabs>
              <w:snapToGrid w:val="0"/>
              <w:spacing w:before="156" w:beforeLines="5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2）磷化处理工艺：</w:t>
            </w:r>
          </w:p>
          <w:p>
            <w:pPr>
              <w:tabs>
                <w:tab w:val="left" w:pos="2640"/>
              </w:tabs>
              <w:snapToGrid w:val="0"/>
              <w:spacing w:before="156" w:beforeLines="5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磷化处理主要采用浸渍法进行。磷化处理以锌钙的磷酸二氢盐为主要成份溶液，经磷化槽液的配制、调整，按工艺规程要求进行。磷化后的工件，采用流动水彻底清洗，提高工件表面的清洗质量，同时采用热的络酸溶液作封闭处理。工件经磷化、水洗后，采用烘干机处理干燥后方可喷塑。经磷化处理后的工件与喷塑时间相隔一般不超过24小时。</w:t>
            </w:r>
          </w:p>
          <w:p>
            <w:pPr>
              <w:tabs>
                <w:tab w:val="left" w:pos="2640"/>
              </w:tabs>
              <w:snapToGrid w:val="0"/>
              <w:spacing w:before="156" w:beforeLines="5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3）磷化膜外观：</w:t>
            </w:r>
          </w:p>
          <w:p>
            <w:pPr>
              <w:tabs>
                <w:tab w:val="left" w:pos="2640"/>
              </w:tabs>
              <w:snapToGrid w:val="0"/>
              <w:spacing w:before="156" w:beforeLines="5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磷化后工件的颜色为灰色，膜层结晶致密，连续和均匀。膜层厚度一般控制为5毫米。</w:t>
            </w:r>
          </w:p>
          <w:p>
            <w:pPr>
              <w:tabs>
                <w:tab w:val="left" w:pos="2640"/>
              </w:tabs>
              <w:snapToGrid w:val="0"/>
              <w:spacing w:before="156" w:beforeLines="5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磷化表面检验，采用检验溶液，观察滴液从天兰色变为淡黄色或淡红色，并在规定时间内不变色。成品入库转入喷塑工序。</w:t>
            </w:r>
          </w:p>
          <w:p>
            <w:pPr>
              <w:tabs>
                <w:tab w:val="left" w:pos="2640"/>
              </w:tabs>
              <w:snapToGrid w:val="0"/>
              <w:spacing w:before="156" w:beforeLines="5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4）静电喷塑技术工艺：</w:t>
            </w:r>
          </w:p>
          <w:p>
            <w:pPr>
              <w:tabs>
                <w:tab w:val="left" w:pos="2640"/>
              </w:tabs>
              <w:snapToGrid w:val="0"/>
              <w:spacing w:before="156" w:beforeLines="5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塑粉经高频、高压静电设备喷涂固化成膜。固化温度控制在180℃，时间控制在10-15分钟范围内。颜色按</w:t>
            </w:r>
            <w:r>
              <w:rPr>
                <w:rFonts w:hint="eastAsia" w:ascii="仿宋" w:hAnsi="仿宋" w:eastAsia="仿宋" w:cs="仿宋"/>
                <w:color w:val="auto"/>
                <w:szCs w:val="21"/>
                <w:highlight w:val="none"/>
                <w:lang w:val="en-US" w:eastAsia="zh-CN"/>
              </w:rPr>
              <w:t>采购人</w:t>
            </w:r>
            <w:r>
              <w:rPr>
                <w:rFonts w:hint="eastAsia" w:ascii="仿宋" w:hAnsi="仿宋" w:eastAsia="仿宋" w:cs="仿宋"/>
                <w:color w:val="auto"/>
                <w:szCs w:val="21"/>
                <w:highlight w:val="none"/>
              </w:rPr>
              <w:t>要求，色泽一致，塑面均匀光滑、无划伤。</w:t>
            </w:r>
          </w:p>
          <w:p>
            <w:pPr>
              <w:tabs>
                <w:tab w:val="left" w:pos="2640"/>
              </w:tabs>
              <w:snapToGrid w:val="0"/>
              <w:spacing w:before="156" w:beforeLines="50"/>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5）、▲检验标准：磷化标准符合GB6807标准要求。表面处理达到如下标准：光泽度为45-60%，冲击强度&gt;60kg/cm2，涂膜厚度为60-70um，附着力达到Ⅱ级标准。各标准件、紧固件均进行防锈(镀锌)处理，表面光滑、平整，无尖角。</w:t>
            </w:r>
          </w:p>
          <w:p>
            <w:pPr>
              <w:tabs>
                <w:tab w:val="left" w:pos="2640"/>
              </w:tabs>
              <w:snapToGrid w:val="0"/>
              <w:spacing w:before="156" w:beforeLines="50"/>
              <w:ind w:firstLine="422"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8. 外观质量：</w:t>
            </w:r>
            <w:r>
              <w:rPr>
                <w:rFonts w:hint="eastAsia" w:ascii="仿宋" w:hAnsi="仿宋" w:eastAsia="仿宋" w:cs="仿宋"/>
                <w:color w:val="auto"/>
                <w:szCs w:val="21"/>
                <w:highlight w:val="none"/>
              </w:rPr>
              <w:t>各零件、组合件、面光滑、平整，没有尖角、凸起。颜色按合同要求，表面处理采用喷塑工艺，色泽一致，漆面均匀光滑、无划伤。</w:t>
            </w:r>
          </w:p>
          <w:p>
            <w:pPr>
              <w:tabs>
                <w:tab w:val="left" w:pos="2640"/>
              </w:tabs>
              <w:snapToGrid w:val="0"/>
              <w:spacing w:before="156" w:beforeLines="50"/>
              <w:ind w:firstLine="413" w:firstLineChars="196"/>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9. 材质、结构及工艺要求一览表:</w:t>
            </w:r>
          </w:p>
          <w:tbl>
            <w:tblPr>
              <w:tblStyle w:val="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1455"/>
              <w:gridCol w:w="941"/>
              <w:gridCol w:w="972"/>
              <w:gridCol w:w="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Align w:val="center"/>
                </w:tcPr>
                <w:p>
                  <w:pPr>
                    <w:snapToGrid w:val="0"/>
                    <w:spacing w:before="62" w:beforeLines="20" w:after="62" w:afterLines="20"/>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设备名称</w:t>
                  </w:r>
                </w:p>
              </w:tc>
              <w:tc>
                <w:tcPr>
                  <w:tcW w:w="1416" w:type="pct"/>
                  <w:vAlign w:val="center"/>
                </w:tcPr>
                <w:p>
                  <w:pPr>
                    <w:snapToGrid w:val="0"/>
                    <w:spacing w:before="62" w:beforeLines="20" w:after="62" w:afterLines="20"/>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设备配置</w:t>
                  </w:r>
                </w:p>
              </w:tc>
              <w:tc>
                <w:tcPr>
                  <w:tcW w:w="916" w:type="pct"/>
                  <w:vAlign w:val="center"/>
                </w:tcPr>
                <w:p>
                  <w:pPr>
                    <w:snapToGrid w:val="0"/>
                    <w:spacing w:before="62" w:beforeLines="20" w:after="62" w:afterLines="20"/>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规格型号</w:t>
                  </w:r>
                </w:p>
              </w:tc>
              <w:tc>
                <w:tcPr>
                  <w:tcW w:w="946" w:type="pct"/>
                  <w:vAlign w:val="center"/>
                </w:tcPr>
                <w:p>
                  <w:pPr>
                    <w:snapToGrid w:val="0"/>
                    <w:spacing w:before="62" w:beforeLines="20" w:after="62" w:afterLines="20"/>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技术参数</w:t>
                  </w:r>
                </w:p>
              </w:tc>
              <w:tc>
                <w:tcPr>
                  <w:tcW w:w="795" w:type="pct"/>
                  <w:vAlign w:val="center"/>
                </w:tcPr>
                <w:p>
                  <w:pPr>
                    <w:snapToGrid w:val="0"/>
                    <w:spacing w:before="62" w:beforeLines="20" w:after="62" w:afterLines="20"/>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采用标准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restar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轨道</w:t>
                  </w: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轨道座（</w:t>
                  </w:r>
                  <w:r>
                    <w:rPr>
                      <w:rFonts w:hint="eastAsia" w:ascii="仿宋" w:hAnsi="仿宋" w:eastAsia="仿宋" w:cs="仿宋"/>
                      <w:color w:val="auto"/>
                      <w:kern w:val="0"/>
                      <w:szCs w:val="21"/>
                      <w:highlight w:val="none"/>
                    </w:rPr>
                    <w:t>地下式安装）</w:t>
                  </w:r>
                </w:p>
              </w:tc>
              <w:tc>
                <w:tcPr>
                  <w:tcW w:w="9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厚度3.0mm</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热轧钢板</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GB/T 711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轨道（</w:t>
                  </w:r>
                  <w:r>
                    <w:rPr>
                      <w:rFonts w:hint="eastAsia" w:ascii="仿宋" w:hAnsi="仿宋" w:eastAsia="仿宋" w:cs="仿宋"/>
                      <w:color w:val="auto"/>
                      <w:kern w:val="0"/>
                      <w:szCs w:val="21"/>
                      <w:highlight w:val="none"/>
                    </w:rPr>
                    <w:t>地下式安装</w:t>
                  </w:r>
                  <w:r>
                    <w:rPr>
                      <w:rFonts w:hint="eastAsia" w:ascii="仿宋" w:hAnsi="仿宋" w:eastAsia="仿宋" w:cs="仿宋"/>
                      <w:bCs/>
                      <w:color w:val="auto"/>
                      <w:szCs w:val="21"/>
                      <w:highlight w:val="none"/>
                    </w:rPr>
                    <w:t>）</w:t>
                  </w:r>
                </w:p>
              </w:tc>
              <w:tc>
                <w:tcPr>
                  <w:tcW w:w="9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20×20mm</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实心方钢</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GB/T 3078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restar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底架</w:t>
                  </w: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横纵梁及轮架</w:t>
                  </w:r>
                </w:p>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组合</w:t>
                  </w:r>
                </w:p>
              </w:tc>
              <w:tc>
                <w:tcPr>
                  <w:tcW w:w="9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厚度3.0mm</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热轧钢板</w:t>
                  </w:r>
                </w:p>
              </w:tc>
              <w:tc>
                <w:tcPr>
                  <w:tcW w:w="795"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GB/T 711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底盘</w:t>
                  </w:r>
                </w:p>
              </w:tc>
              <w:tc>
                <w:tcPr>
                  <w:tcW w:w="9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厚度3.0mm</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热轧钢板</w:t>
                  </w:r>
                </w:p>
              </w:tc>
              <w:tc>
                <w:tcPr>
                  <w:tcW w:w="795"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GB/T 711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restar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架体</w:t>
                  </w: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立柱</w:t>
                  </w:r>
                </w:p>
              </w:tc>
              <w:tc>
                <w:tcPr>
                  <w:tcW w:w="9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厚度</w:t>
                  </w:r>
                  <w:r>
                    <w:rPr>
                      <w:rFonts w:hint="eastAsia" w:ascii="仿宋" w:hAnsi="仿宋" w:eastAsia="仿宋" w:cs="仿宋"/>
                      <w:color w:val="auto"/>
                      <w:szCs w:val="21"/>
                      <w:highlight w:val="none"/>
                    </w:rPr>
                    <w:t>1.5mm</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冷轧钢板</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GB/T 708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搁板</w:t>
                  </w:r>
                </w:p>
              </w:tc>
              <w:tc>
                <w:tcPr>
                  <w:tcW w:w="916" w:type="pct"/>
                  <w:vAlign w:val="center"/>
                </w:tcPr>
                <w:p>
                  <w:pPr>
                    <w:snapToGrid w:val="0"/>
                    <w:spacing w:before="62" w:beforeLines="20" w:after="62" w:afterLines="20"/>
                    <w:jc w:val="center"/>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厚度</w:t>
                  </w:r>
                  <w:r>
                    <w:rPr>
                      <w:rFonts w:hint="eastAsia" w:ascii="仿宋" w:hAnsi="仿宋" w:eastAsia="仿宋" w:cs="仿宋"/>
                      <w:color w:val="auto"/>
                      <w:szCs w:val="21"/>
                      <w:highlight w:val="none"/>
                    </w:rPr>
                    <w:t>1.2mm</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冷轧钢板</w:t>
                  </w:r>
                </w:p>
              </w:tc>
              <w:tc>
                <w:tcPr>
                  <w:tcW w:w="795"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GB/T 708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挂板</w:t>
                  </w:r>
                </w:p>
              </w:tc>
              <w:tc>
                <w:tcPr>
                  <w:tcW w:w="916" w:type="pct"/>
                  <w:vAlign w:val="center"/>
                </w:tcPr>
                <w:p>
                  <w:pPr>
                    <w:snapToGrid w:val="0"/>
                    <w:spacing w:before="62" w:beforeLines="20" w:after="62" w:afterLines="20"/>
                    <w:jc w:val="center"/>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厚度</w:t>
                  </w:r>
                  <w:r>
                    <w:rPr>
                      <w:rFonts w:hint="eastAsia" w:ascii="仿宋" w:hAnsi="仿宋" w:eastAsia="仿宋" w:cs="仿宋"/>
                      <w:color w:val="auto"/>
                      <w:szCs w:val="21"/>
                      <w:highlight w:val="none"/>
                    </w:rPr>
                    <w:t>1.2mm</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冷轧钢板</w:t>
                  </w:r>
                </w:p>
              </w:tc>
              <w:tc>
                <w:tcPr>
                  <w:tcW w:w="795"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GB/T 708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挡棒</w:t>
                  </w:r>
                </w:p>
              </w:tc>
              <w:tc>
                <w:tcPr>
                  <w:tcW w:w="9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厚度1.0mm</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冷轧钢板</w:t>
                  </w:r>
                </w:p>
              </w:tc>
              <w:tc>
                <w:tcPr>
                  <w:tcW w:w="795"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GB/T 708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门板</w:t>
                  </w:r>
                </w:p>
              </w:tc>
              <w:tc>
                <w:tcPr>
                  <w:tcW w:w="916" w:type="pct"/>
                  <w:vAlign w:val="center"/>
                </w:tcPr>
                <w:p>
                  <w:pPr>
                    <w:snapToGrid w:val="0"/>
                    <w:spacing w:before="62" w:beforeLines="20" w:after="62" w:afterLines="20"/>
                    <w:jc w:val="center"/>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厚度</w:t>
                  </w:r>
                  <w:r>
                    <w:rPr>
                      <w:rFonts w:hint="eastAsia" w:ascii="仿宋" w:hAnsi="仿宋" w:eastAsia="仿宋" w:cs="仿宋"/>
                      <w:color w:val="auto"/>
                      <w:szCs w:val="21"/>
                      <w:highlight w:val="none"/>
                    </w:rPr>
                    <w:t>1.0mm</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冷轧钢板</w:t>
                  </w:r>
                </w:p>
              </w:tc>
              <w:tc>
                <w:tcPr>
                  <w:tcW w:w="795"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GB/T 708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门框</w:t>
                  </w:r>
                </w:p>
              </w:tc>
              <w:tc>
                <w:tcPr>
                  <w:tcW w:w="916" w:type="pct"/>
                  <w:vAlign w:val="center"/>
                </w:tcPr>
                <w:p>
                  <w:pPr>
                    <w:snapToGrid w:val="0"/>
                    <w:spacing w:before="62" w:beforeLines="20" w:after="62" w:afterLines="20"/>
                    <w:jc w:val="center"/>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厚度</w:t>
                  </w:r>
                  <w:r>
                    <w:rPr>
                      <w:rFonts w:hint="eastAsia" w:ascii="仿宋" w:hAnsi="仿宋" w:eastAsia="仿宋" w:cs="仿宋"/>
                      <w:color w:val="auto"/>
                      <w:szCs w:val="21"/>
                      <w:highlight w:val="none"/>
                    </w:rPr>
                    <w:t>1.0mm</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冷轧钢板</w:t>
                  </w:r>
                </w:p>
              </w:tc>
              <w:tc>
                <w:tcPr>
                  <w:tcW w:w="795"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GB/T 708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顶板</w:t>
                  </w:r>
                </w:p>
              </w:tc>
              <w:tc>
                <w:tcPr>
                  <w:tcW w:w="916" w:type="pct"/>
                  <w:vAlign w:val="center"/>
                </w:tcPr>
                <w:p>
                  <w:pPr>
                    <w:snapToGrid w:val="0"/>
                    <w:spacing w:before="62" w:beforeLines="20" w:after="62" w:afterLines="20"/>
                    <w:jc w:val="center"/>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厚度</w:t>
                  </w:r>
                  <w:r>
                    <w:rPr>
                      <w:rFonts w:hint="eastAsia" w:ascii="仿宋" w:hAnsi="仿宋" w:eastAsia="仿宋" w:cs="仿宋"/>
                      <w:color w:val="auto"/>
                      <w:szCs w:val="21"/>
                      <w:highlight w:val="none"/>
                    </w:rPr>
                    <w:t>1.0mm</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冷轧钢板</w:t>
                  </w:r>
                </w:p>
              </w:tc>
              <w:tc>
                <w:tcPr>
                  <w:tcW w:w="795"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GB/T 708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侧护板</w:t>
                  </w:r>
                </w:p>
              </w:tc>
              <w:tc>
                <w:tcPr>
                  <w:tcW w:w="916" w:type="pct"/>
                  <w:vAlign w:val="center"/>
                </w:tcPr>
                <w:p>
                  <w:pPr>
                    <w:snapToGrid w:val="0"/>
                    <w:spacing w:before="62" w:beforeLines="20" w:after="62" w:afterLines="20"/>
                    <w:jc w:val="center"/>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厚度</w:t>
                  </w:r>
                  <w:r>
                    <w:rPr>
                      <w:rFonts w:hint="eastAsia" w:ascii="仿宋" w:hAnsi="仿宋" w:eastAsia="仿宋" w:cs="仿宋"/>
                      <w:color w:val="auto"/>
                      <w:szCs w:val="21"/>
                      <w:highlight w:val="none"/>
                    </w:rPr>
                    <w:t>1.0mm</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冷轧钢板</w:t>
                  </w:r>
                </w:p>
              </w:tc>
              <w:tc>
                <w:tcPr>
                  <w:tcW w:w="795"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GB/T 708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restar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传动</w:t>
                  </w:r>
                </w:p>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机构</w:t>
                  </w: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轴承</w:t>
                  </w:r>
                </w:p>
              </w:tc>
              <w:tc>
                <w:tcPr>
                  <w:tcW w:w="9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P204</w:t>
                  </w:r>
                </w:p>
              </w:tc>
              <w:tc>
                <w:tcPr>
                  <w:tcW w:w="94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向心轴承</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GB/T 307.3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传动轴</w:t>
                  </w:r>
                </w:p>
              </w:tc>
              <w:tc>
                <w:tcPr>
                  <w:tcW w:w="9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Ø20mm</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45#实心圆钢</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GB/T 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连接钢管</w:t>
                  </w:r>
                </w:p>
              </w:tc>
              <w:tc>
                <w:tcPr>
                  <w:tcW w:w="9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Ø25×2.5</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无缝钢管</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GB8162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铁滚轮</w:t>
                  </w:r>
                </w:p>
              </w:tc>
              <w:tc>
                <w:tcPr>
                  <w:tcW w:w="91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Ø120</w:t>
                  </w:r>
                </w:p>
              </w:tc>
              <w:tc>
                <w:tcPr>
                  <w:tcW w:w="94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HT15-33</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HB7339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传动齿轮</w:t>
                  </w:r>
                </w:p>
              </w:tc>
              <w:tc>
                <w:tcPr>
                  <w:tcW w:w="91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48牙</w:t>
                  </w:r>
                </w:p>
              </w:tc>
              <w:tc>
                <w:tcPr>
                  <w:tcW w:w="94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HD606</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GB/ T 10855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链条</w:t>
                  </w:r>
                </w:p>
              </w:tc>
              <w:tc>
                <w:tcPr>
                  <w:tcW w:w="9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B系列08B-1</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节距12.7</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GB1244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传动摇手柄</w:t>
                  </w:r>
                </w:p>
              </w:tc>
              <w:tc>
                <w:tcPr>
                  <w:tcW w:w="9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静音摇手柄</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双向超越离合器结构</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GB/T 13667.3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锁定</w:t>
                  </w:r>
                </w:p>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装置</w:t>
                  </w: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边列锁定</w:t>
                  </w:r>
                </w:p>
              </w:tc>
              <w:tc>
                <w:tcPr>
                  <w:tcW w:w="9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t>旋钮锁</w:t>
                  </w:r>
                </w:p>
              </w:tc>
              <w:tc>
                <w:tcPr>
                  <w:tcW w:w="94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企业标准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restar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密封</w:t>
                  </w:r>
                </w:p>
              </w:tc>
              <w:tc>
                <w:tcPr>
                  <w:tcW w:w="141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密封条</w:t>
                  </w:r>
                </w:p>
              </w:tc>
              <w:tc>
                <w:tcPr>
                  <w:tcW w:w="91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20×20</w:t>
                  </w:r>
                </w:p>
              </w:tc>
              <w:tc>
                <w:tcPr>
                  <w:tcW w:w="94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聚氯乙烯PVC</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GB/T 528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锁具</w:t>
                  </w:r>
                </w:p>
              </w:tc>
              <w:tc>
                <w:tcPr>
                  <w:tcW w:w="91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9790</w:t>
                  </w:r>
                </w:p>
              </w:tc>
              <w:tc>
                <w:tcPr>
                  <w:tcW w:w="94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豪华锁</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企业标准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顶板</w:t>
                  </w:r>
                </w:p>
              </w:tc>
              <w:tc>
                <w:tcPr>
                  <w:tcW w:w="91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w:t>
                  </w:r>
                </w:p>
              </w:tc>
              <w:tc>
                <w:tcPr>
                  <w:tcW w:w="94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冷轧钢板</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GB/T 708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防尘板</w:t>
                  </w:r>
                </w:p>
              </w:tc>
              <w:tc>
                <w:tcPr>
                  <w:tcW w:w="91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w:t>
                  </w:r>
                </w:p>
              </w:tc>
              <w:tc>
                <w:tcPr>
                  <w:tcW w:w="94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冷轧钢板</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GB/T 708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Merge w:val="continue"/>
                  <w:vAlign w:val="center"/>
                </w:tcPr>
                <w:p>
                  <w:pPr>
                    <w:snapToGrid w:val="0"/>
                    <w:spacing w:before="62" w:beforeLines="20" w:after="62" w:afterLines="20"/>
                    <w:jc w:val="center"/>
                    <w:rPr>
                      <w:rFonts w:hint="eastAsia" w:ascii="仿宋" w:hAnsi="仿宋" w:eastAsia="仿宋" w:cs="仿宋"/>
                      <w:bCs/>
                      <w:color w:val="auto"/>
                      <w:szCs w:val="21"/>
                      <w:highlight w:val="none"/>
                    </w:rPr>
                  </w:pPr>
                </w:p>
              </w:tc>
              <w:tc>
                <w:tcPr>
                  <w:tcW w:w="141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防倒装置</w:t>
                  </w:r>
                </w:p>
              </w:tc>
              <w:tc>
                <w:tcPr>
                  <w:tcW w:w="91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3.0</w:t>
                  </w:r>
                </w:p>
              </w:tc>
              <w:tc>
                <w:tcPr>
                  <w:tcW w:w="94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冷轧钢板</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GB/T 708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表面</w:t>
                  </w:r>
                </w:p>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处理</w:t>
                  </w:r>
                </w:p>
              </w:tc>
              <w:tc>
                <w:tcPr>
                  <w:tcW w:w="1416"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表面喷塑</w:t>
                  </w:r>
                </w:p>
              </w:tc>
              <w:tc>
                <w:tcPr>
                  <w:tcW w:w="1862" w:type="pct"/>
                  <w:gridSpan w:val="2"/>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环保性粉末静电高温喷塑，硬度 ≥ 0.4°,冲击力60kg/c㎡, 附着力≥2级,膜厚厚度≥60μm</w:t>
                  </w:r>
                </w:p>
              </w:tc>
              <w:tc>
                <w:tcPr>
                  <w:tcW w:w="795" w:type="pct"/>
                  <w:vAlign w:val="center"/>
                </w:tcPr>
                <w:p>
                  <w:pPr>
                    <w:snapToGrid w:val="0"/>
                    <w:spacing w:before="62" w:beforeLines="20" w:after="62" w:afterLines="20"/>
                    <w:jc w:val="center"/>
                    <w:rPr>
                      <w:rFonts w:hint="eastAsia" w:ascii="仿宋" w:hAnsi="仿宋" w:eastAsia="仿宋" w:cs="仿宋"/>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pct"/>
                  <w:vAlign w:val="center"/>
                </w:tcPr>
                <w:p>
                  <w:pPr>
                    <w:snapToGrid w:val="0"/>
                    <w:spacing w:before="62" w:beforeLines="20" w:after="62" w:afterLines="2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紧固件</w:t>
                  </w:r>
                </w:p>
              </w:tc>
              <w:tc>
                <w:tcPr>
                  <w:tcW w:w="1416" w:type="pct"/>
                  <w:vAlign w:val="center"/>
                </w:tcPr>
                <w:p>
                  <w:pPr>
                    <w:snapToGrid w:val="0"/>
                    <w:spacing w:before="62" w:beforeLines="20" w:after="62" w:afterLines="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螺栓螺帽等</w:t>
                  </w:r>
                </w:p>
              </w:tc>
              <w:tc>
                <w:tcPr>
                  <w:tcW w:w="916" w:type="pct"/>
                  <w:vAlign w:val="center"/>
                </w:tcPr>
                <w:p>
                  <w:pPr>
                    <w:snapToGrid w:val="0"/>
                    <w:spacing w:before="62" w:beforeLines="20" w:after="62" w:afterLines="20"/>
                    <w:ind w:firstLine="420" w:firstLineChars="20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w:t>
                  </w:r>
                </w:p>
              </w:tc>
              <w:tc>
                <w:tcPr>
                  <w:tcW w:w="946"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45#\Q235-A钢制镀锌标准化零件</w:t>
                  </w:r>
                </w:p>
              </w:tc>
              <w:tc>
                <w:tcPr>
                  <w:tcW w:w="795" w:type="pct"/>
                  <w:vAlign w:val="center"/>
                </w:tcPr>
                <w:p>
                  <w:pPr>
                    <w:pStyle w:val="4"/>
                    <w:snapToGrid w:val="0"/>
                    <w:spacing w:before="20" w:after="2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GB5782</w:t>
                  </w:r>
                </w:p>
              </w:tc>
            </w:tr>
          </w:tbl>
          <w:p>
            <w:pPr>
              <w:jc w:val="left"/>
              <w:rPr>
                <w:rFonts w:hint="eastAsia" w:ascii="仿宋" w:hAnsi="仿宋" w:eastAsia="仿宋" w:cs="仿宋"/>
                <w:color w:val="auto"/>
                <w:sz w:val="24"/>
                <w:highlight w:val="none"/>
              </w:rPr>
            </w:pPr>
          </w:p>
        </w:tc>
        <w:tc>
          <w:tcPr>
            <w:tcW w:w="978" w:type="pct"/>
            <w:tcBorders>
              <w:top w:val="single" w:color="auto" w:sz="4" w:space="0"/>
              <w:left w:val="single" w:color="auto" w:sz="4" w:space="0"/>
              <w:bottom w:val="single" w:color="auto" w:sz="4" w:space="0"/>
              <w:right w:val="single" w:color="auto" w:sz="4" w:space="0"/>
            </w:tcBorders>
            <w:vAlign w:val="center"/>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(长*宽*高)950*550*2450mm（双面6层）</w:t>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预计藏书量30-36万册。</w:t>
            </w:r>
          </w:p>
        </w:tc>
      </w:tr>
    </w:tbl>
    <w:p>
      <w:pPr>
        <w:rPr>
          <w:rFonts w:hint="eastAsia" w:ascii="仿宋" w:hAnsi="仿宋" w:eastAsia="仿宋" w:cs="仿宋"/>
        </w:rPr>
      </w:pPr>
      <w:bookmarkStart w:id="0" w:name="_GoBack"/>
      <w:bookmarkEnd w:id="0"/>
    </w:p>
    <w:p>
      <w:pPr>
        <w:rPr>
          <w:rFonts w:hint="eastAsia" w:ascii="仿宋" w:hAnsi="仿宋" w:eastAsia="仿宋" w:cs="仿宋"/>
        </w:rPr>
      </w:pPr>
    </w:p>
    <w:p>
      <w:pPr>
        <w:snapToGrid w:val="0"/>
        <w:spacing w:before="62" w:beforeLines="20" w:after="62" w:afterLines="20"/>
        <w:jc w:val="left"/>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商务要求</w:t>
      </w:r>
    </w:p>
    <w:tbl>
      <w:tblPr>
        <w:tblStyle w:val="2"/>
        <w:tblW w:w="4996"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02"/>
        <w:gridCol w:w="1606"/>
        <w:gridCol w:w="62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41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943"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项目名称</w:t>
            </w:r>
          </w:p>
        </w:tc>
        <w:tc>
          <w:tcPr>
            <w:tcW w:w="36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采购人要求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1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w:t>
            </w:r>
          </w:p>
        </w:tc>
        <w:tc>
          <w:tcPr>
            <w:tcW w:w="943" w:type="pct"/>
            <w:tcBorders>
              <w:top w:val="single" w:color="auto" w:sz="4" w:space="0"/>
              <w:left w:val="single" w:color="auto" w:sz="4" w:space="0"/>
              <w:bottom w:val="single" w:color="auto" w:sz="4" w:space="0"/>
              <w:right w:val="single" w:color="auto" w:sz="4" w:space="0"/>
            </w:tcBorders>
            <w:vAlign w:val="center"/>
          </w:tcPr>
          <w:p>
            <w:pPr>
              <w:spacing w:line="300" w:lineRule="exact"/>
              <w:ind w:left="305" w:hanging="304" w:hangingChars="127"/>
              <w:rPr>
                <w:rFonts w:hint="eastAsia" w:ascii="仿宋" w:hAnsi="仿宋" w:eastAsia="仿宋" w:cs="仿宋"/>
                <w:color w:val="auto"/>
                <w:sz w:val="24"/>
                <w:highlight w:val="none"/>
              </w:rPr>
            </w:pPr>
            <w:r>
              <w:rPr>
                <w:rFonts w:hint="eastAsia" w:ascii="仿宋" w:hAnsi="仿宋" w:eastAsia="仿宋" w:cs="仿宋"/>
                <w:color w:val="auto"/>
                <w:sz w:val="24"/>
                <w:highlight w:val="none"/>
              </w:rPr>
              <w:t>成交价</w:t>
            </w:r>
          </w:p>
        </w:tc>
        <w:tc>
          <w:tcPr>
            <w:tcW w:w="3644" w:type="pct"/>
            <w:tcBorders>
              <w:top w:val="single" w:color="auto" w:sz="4" w:space="0"/>
              <w:left w:val="single" w:color="auto" w:sz="4" w:space="0"/>
              <w:bottom w:val="single" w:color="auto" w:sz="4" w:space="0"/>
              <w:right w:val="single" w:color="auto" w:sz="4" w:space="0"/>
            </w:tcBorders>
            <w:vAlign w:val="center"/>
          </w:tcPr>
          <w:p>
            <w:pPr>
              <w:spacing w:line="300" w:lineRule="exact"/>
              <w:ind w:left="305" w:hanging="304" w:hangingChars="127"/>
              <w:rPr>
                <w:rFonts w:hint="eastAsia" w:ascii="仿宋" w:hAnsi="仿宋" w:eastAsia="仿宋" w:cs="仿宋"/>
                <w:color w:val="auto"/>
                <w:sz w:val="24"/>
                <w:highlight w:val="none"/>
              </w:rPr>
            </w:pPr>
            <w:r>
              <w:rPr>
                <w:rFonts w:hint="eastAsia" w:ascii="仿宋" w:hAnsi="仿宋" w:eastAsia="仿宋" w:cs="仿宋"/>
                <w:color w:val="auto"/>
                <w:sz w:val="24"/>
                <w:highlight w:val="none"/>
              </w:rPr>
              <w:t>人民币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41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w:t>
            </w:r>
          </w:p>
        </w:tc>
        <w:tc>
          <w:tcPr>
            <w:tcW w:w="943" w:type="pct"/>
            <w:tcBorders>
              <w:top w:val="single" w:color="auto" w:sz="4" w:space="0"/>
              <w:left w:val="single" w:color="auto" w:sz="4" w:space="0"/>
              <w:bottom w:val="single" w:color="auto" w:sz="4" w:space="0"/>
              <w:right w:val="single" w:color="auto" w:sz="4" w:space="0"/>
            </w:tcBorders>
            <w:vAlign w:val="center"/>
          </w:tcPr>
          <w:p>
            <w:pPr>
              <w:spacing w:line="300" w:lineRule="exact"/>
              <w:ind w:left="305" w:hanging="304" w:hangingChars="127"/>
              <w:rPr>
                <w:rFonts w:hint="eastAsia" w:ascii="仿宋" w:hAnsi="仿宋" w:eastAsia="仿宋" w:cs="仿宋"/>
                <w:color w:val="auto"/>
                <w:sz w:val="24"/>
                <w:highlight w:val="none"/>
              </w:rPr>
            </w:pPr>
            <w:r>
              <w:rPr>
                <w:rFonts w:hint="eastAsia" w:ascii="仿宋" w:hAnsi="仿宋" w:eastAsia="仿宋" w:cs="仿宋"/>
                <w:color w:val="auto"/>
                <w:sz w:val="24"/>
                <w:highlight w:val="none"/>
              </w:rPr>
              <w:t>交货时间</w:t>
            </w:r>
          </w:p>
        </w:tc>
        <w:tc>
          <w:tcPr>
            <w:tcW w:w="3644" w:type="pct"/>
            <w:tcBorders>
              <w:top w:val="single" w:color="auto" w:sz="4" w:space="0"/>
              <w:left w:val="single" w:color="auto" w:sz="4" w:space="0"/>
              <w:bottom w:val="single" w:color="auto" w:sz="4" w:space="0"/>
              <w:right w:val="single" w:color="auto" w:sz="4" w:space="0"/>
            </w:tcBorders>
            <w:vAlign w:val="center"/>
          </w:tcPr>
          <w:p>
            <w:pPr>
              <w:spacing w:line="300" w:lineRule="exact"/>
              <w:ind w:hanging="4"/>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合同签订之日起60天内完成安装调试并具备验收条件。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41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w:t>
            </w:r>
          </w:p>
        </w:tc>
        <w:tc>
          <w:tcPr>
            <w:tcW w:w="943" w:type="pct"/>
            <w:tcBorders>
              <w:top w:val="single" w:color="auto" w:sz="4" w:space="0"/>
              <w:left w:val="single" w:color="auto" w:sz="4" w:space="0"/>
              <w:bottom w:val="single" w:color="auto" w:sz="4" w:space="0"/>
              <w:right w:val="single" w:color="auto" w:sz="4" w:space="0"/>
            </w:tcBorders>
            <w:vAlign w:val="center"/>
          </w:tcPr>
          <w:p>
            <w:pPr>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付款方式</w:t>
            </w:r>
          </w:p>
        </w:tc>
        <w:tc>
          <w:tcPr>
            <w:tcW w:w="3644" w:type="pct"/>
            <w:tcBorders>
              <w:top w:val="single" w:color="auto" w:sz="4" w:space="0"/>
              <w:left w:val="single" w:color="auto" w:sz="4" w:space="0"/>
              <w:bottom w:val="single" w:color="auto" w:sz="4" w:space="0"/>
              <w:right w:val="single" w:color="auto" w:sz="4" w:space="0"/>
            </w:tcBorders>
            <w:vAlign w:val="center"/>
          </w:tcPr>
          <w:p>
            <w:pPr>
              <w:spacing w:line="4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验收合格后支付90%</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余款在验收合格满一年后支付</w:t>
            </w:r>
            <w:r>
              <w:rPr>
                <w:rFonts w:hint="eastAsia" w:ascii="仿宋" w:hAnsi="仿宋" w:eastAsia="仿宋" w:cs="仿宋"/>
                <w:color w:val="auto"/>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41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4</w:t>
            </w:r>
          </w:p>
        </w:tc>
        <w:tc>
          <w:tcPr>
            <w:tcW w:w="943" w:type="pct"/>
            <w:tcBorders>
              <w:top w:val="single" w:color="auto" w:sz="4" w:space="0"/>
              <w:left w:val="single" w:color="auto" w:sz="4" w:space="0"/>
              <w:bottom w:val="single" w:color="auto" w:sz="4" w:space="0"/>
              <w:right w:val="single" w:color="auto" w:sz="4" w:space="0"/>
            </w:tcBorders>
            <w:vAlign w:val="center"/>
          </w:tcPr>
          <w:p>
            <w:pPr>
              <w:tabs>
                <w:tab w:val="left" w:pos="420"/>
              </w:tabs>
              <w:rPr>
                <w:rFonts w:hint="eastAsia" w:ascii="仿宋" w:hAnsi="仿宋" w:eastAsia="仿宋" w:cs="仿宋"/>
                <w:color w:val="auto"/>
                <w:sz w:val="24"/>
                <w:highlight w:val="none"/>
              </w:rPr>
            </w:pPr>
            <w:r>
              <w:rPr>
                <w:rFonts w:hint="eastAsia" w:ascii="仿宋" w:hAnsi="仿宋" w:eastAsia="仿宋" w:cs="仿宋"/>
                <w:color w:val="auto"/>
                <w:sz w:val="24"/>
                <w:highlight w:val="none"/>
              </w:rPr>
              <w:t>安装验收</w:t>
            </w:r>
          </w:p>
        </w:tc>
        <w:tc>
          <w:tcPr>
            <w:tcW w:w="3644" w:type="pct"/>
            <w:tcBorders>
              <w:top w:val="single" w:color="auto" w:sz="4" w:space="0"/>
              <w:left w:val="single" w:color="auto" w:sz="4" w:space="0"/>
              <w:bottom w:val="single" w:color="auto" w:sz="4" w:space="0"/>
              <w:right w:val="single" w:color="auto" w:sz="4" w:space="0"/>
            </w:tcBorders>
          </w:tcPr>
          <w:p>
            <w:pPr>
              <w:ind w:left="360" w:hanging="360" w:hanging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A．设备验收由专家组和成交供应商联合在山东大学进行，验收条件按照合同规定执行。验收合格后填写山东大学贵重仪器设备验收记录表，该验收单作为支付成交供应商货款的依据。</w:t>
            </w:r>
          </w:p>
          <w:p>
            <w:pPr>
              <w:tabs>
                <w:tab w:val="left" w:pos="360"/>
              </w:tabs>
              <w:ind w:left="360" w:hanging="360" w:hanging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B．对安装有特殊要求的设备，成交供应商应在合同签订后10个工作日内以书面形式向用户提出安装场地环境要求，用户负责如电源、地线、温度和湿度设备、静电和防尘设备等安装场地的准备。</w:t>
            </w:r>
          </w:p>
          <w:p>
            <w:pPr>
              <w:tabs>
                <w:tab w:val="left" w:pos="360"/>
              </w:tabs>
              <w:ind w:left="360" w:hanging="360" w:hanging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C．成交供应商应提供各种文档资料和中文电子版说明书以及调试仪器所需要的工具。</w:t>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D．成交供应商派专门人员将仪器安装并调试好，达到说明书技术指标的要求。</w:t>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E</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32 万册图书（20万在B区，另有12万需从校外运至密集书库）按照大流水方案上架，含更换书标、覆膜、入系统、定位排架号等；</w:t>
            </w:r>
          </w:p>
          <w:p>
            <w:pPr>
              <w:tabs>
                <w:tab w:val="left" w:pos="360"/>
              </w:tabs>
              <w:ind w:left="360" w:hanging="36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F</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B区现有书架拆卸搬运，总计16排，每排6列。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12"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5</w:t>
            </w:r>
          </w:p>
        </w:tc>
        <w:tc>
          <w:tcPr>
            <w:tcW w:w="943" w:type="pct"/>
            <w:tcBorders>
              <w:top w:val="single" w:color="auto" w:sz="4" w:space="0"/>
              <w:left w:val="single" w:color="auto" w:sz="4" w:space="0"/>
              <w:bottom w:val="single" w:color="auto" w:sz="4" w:space="0"/>
              <w:right w:val="single" w:color="auto" w:sz="4" w:space="0"/>
            </w:tcBorders>
            <w:vAlign w:val="center"/>
          </w:tcPr>
          <w:p>
            <w:pPr>
              <w:tabs>
                <w:tab w:val="left" w:pos="420"/>
              </w:tabs>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培训</w:t>
            </w:r>
          </w:p>
        </w:tc>
        <w:tc>
          <w:tcPr>
            <w:tcW w:w="3644" w:type="pct"/>
            <w:tcBorders>
              <w:top w:val="single" w:color="auto" w:sz="4" w:space="0"/>
              <w:left w:val="single" w:color="auto" w:sz="4" w:space="0"/>
              <w:bottom w:val="single" w:color="auto" w:sz="4" w:space="0"/>
              <w:right w:val="single" w:color="auto" w:sz="4" w:space="0"/>
            </w:tcBorders>
          </w:tcPr>
          <w:p>
            <w:pPr>
              <w:numPr>
                <w:ilvl w:val="0"/>
                <w:numId w:val="3"/>
              </w:numPr>
              <w:spacing w:line="300" w:lineRule="exact"/>
              <w:ind w:left="360" w:hanging="360" w:hanging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一周仪器操作使用培训，用户指定地点培训，不限制人数，根据需要延长培训时间。</w:t>
            </w:r>
          </w:p>
          <w:p>
            <w:pPr>
              <w:numPr>
                <w:ilvl w:val="0"/>
                <w:numId w:val="3"/>
              </w:numPr>
              <w:spacing w:line="300" w:lineRule="exact"/>
              <w:ind w:left="360" w:hanging="360" w:hanging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使用一段时间后，可根据用户需要再次到用户指定地点</w:t>
            </w:r>
            <w:r>
              <w:rPr>
                <w:rFonts w:hint="eastAsia" w:ascii="仿宋" w:hAnsi="仿宋" w:eastAsia="仿宋" w:cs="仿宋"/>
                <w:color w:val="auto"/>
                <w:sz w:val="24"/>
                <w:highlight w:val="none"/>
                <w:lang w:val="en-US" w:eastAsia="zh-CN"/>
              </w:rPr>
              <w:t>再</w:t>
            </w:r>
            <w:r>
              <w:rPr>
                <w:rFonts w:hint="eastAsia" w:ascii="仿宋" w:hAnsi="仿宋" w:eastAsia="仿宋" w:cs="仿宋"/>
                <w:color w:val="auto"/>
                <w:sz w:val="24"/>
                <w:highlight w:val="none"/>
              </w:rPr>
              <w:t>进行培训。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412"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6</w:t>
            </w:r>
          </w:p>
        </w:tc>
        <w:tc>
          <w:tcPr>
            <w:tcW w:w="9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质保</w:t>
            </w:r>
            <w:r>
              <w:rPr>
                <w:rFonts w:hint="eastAsia" w:ascii="仿宋" w:hAnsi="仿宋" w:eastAsia="仿宋" w:cs="仿宋"/>
                <w:color w:val="auto"/>
                <w:sz w:val="24"/>
                <w:highlight w:val="none"/>
              </w:rPr>
              <w:t>与维修</w:t>
            </w:r>
          </w:p>
        </w:tc>
        <w:tc>
          <w:tcPr>
            <w:tcW w:w="3644" w:type="pct"/>
            <w:tcBorders>
              <w:top w:val="single" w:color="auto" w:sz="4" w:space="0"/>
              <w:left w:val="single" w:color="auto" w:sz="4" w:space="0"/>
              <w:bottom w:val="single" w:color="auto" w:sz="4" w:space="0"/>
              <w:right w:val="single" w:color="auto" w:sz="4" w:space="0"/>
            </w:tcBorders>
          </w:tcPr>
          <w:p>
            <w:pPr>
              <w:spacing w:line="420" w:lineRule="exac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A．</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10年，质保期内，提供轨道、轴承、锁具、链条、链轮、滚轮、摇把等部件免费维修及更换服务。</w:t>
            </w:r>
          </w:p>
          <w:p>
            <w:pPr>
              <w:spacing w:line="420" w:lineRule="exac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B．成交供应商应在验收合格之日起到</w:t>
            </w:r>
            <w:r>
              <w:rPr>
                <w:rFonts w:hint="eastAsia" w:ascii="仿宋" w:hAnsi="仿宋" w:eastAsia="仿宋" w:cs="仿宋"/>
                <w:color w:val="auto"/>
                <w:kern w:val="0"/>
                <w:sz w:val="24"/>
                <w:highlight w:val="none"/>
                <w:lang w:val="en-US" w:eastAsia="zh-CN"/>
              </w:rPr>
              <w:t>质保期</w:t>
            </w:r>
            <w:r>
              <w:rPr>
                <w:rFonts w:hint="eastAsia" w:ascii="仿宋" w:hAnsi="仿宋" w:eastAsia="仿宋" w:cs="仿宋"/>
                <w:color w:val="auto"/>
                <w:kern w:val="0"/>
                <w:sz w:val="24"/>
                <w:highlight w:val="none"/>
              </w:rPr>
              <w:t>满前一个月内，进行一次现场全面检查，并写出正式报告（该项费用包含在报价中）。如发现问题应负责解决。</w:t>
            </w:r>
          </w:p>
          <w:p>
            <w:pPr>
              <w:spacing w:line="420" w:lineRule="exac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C．成交供应商需提供负责售后服务的部门或单位的名称和联系方式。维修响应一般情况下4—8小时，终身维修。一般问题应在1周内解决，重大问题或其它无法迅速解决的问题应在1月内解决或提出明确解决方案，否则成交供应商应赔偿相应损失。</w:t>
            </w:r>
          </w:p>
          <w:p>
            <w:pPr>
              <w:spacing w:line="420" w:lineRule="exac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D．成交供应商应定期回访用户。</w:t>
            </w:r>
          </w:p>
          <w:p>
            <w:pPr>
              <w:spacing w:line="420" w:lineRule="exac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E．供应商必须列明</w:t>
            </w:r>
            <w:r>
              <w:rPr>
                <w:rFonts w:hint="eastAsia" w:ascii="仿宋" w:hAnsi="仿宋" w:eastAsia="仿宋" w:cs="仿宋"/>
                <w:color w:val="auto"/>
                <w:kern w:val="0"/>
                <w:sz w:val="24"/>
                <w:highlight w:val="none"/>
                <w:lang w:val="en-US" w:eastAsia="zh-CN"/>
              </w:rPr>
              <w:t>质保期</w:t>
            </w:r>
            <w:r>
              <w:rPr>
                <w:rFonts w:hint="eastAsia" w:ascii="仿宋" w:hAnsi="仿宋" w:eastAsia="仿宋" w:cs="仿宋"/>
                <w:color w:val="auto"/>
                <w:kern w:val="0"/>
                <w:sz w:val="24"/>
                <w:highlight w:val="none"/>
              </w:rPr>
              <w:t>后的各项收费标准，需购买的附件和零配件的价格应按主机合同的折扣率给予优惠。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412"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7</w:t>
            </w:r>
          </w:p>
        </w:tc>
        <w:tc>
          <w:tcPr>
            <w:tcW w:w="9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售后服务</w:t>
            </w:r>
          </w:p>
        </w:tc>
        <w:tc>
          <w:tcPr>
            <w:tcW w:w="3644" w:type="pct"/>
            <w:tcBorders>
              <w:top w:val="single" w:color="auto" w:sz="4" w:space="0"/>
              <w:left w:val="single" w:color="auto" w:sz="4" w:space="0"/>
              <w:bottom w:val="single" w:color="auto" w:sz="4" w:space="0"/>
              <w:right w:val="single" w:color="auto" w:sz="4" w:space="0"/>
            </w:tcBorders>
          </w:tcPr>
          <w:p>
            <w:pPr>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A.硬件出现故障要求厂家24小时响应，48小时内到达，如返厂维修，须提供样机。</w:t>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B.仪器使用问题需要2小时内响应，可通过电话、邮件等、如果不能解决，48小时内到达用户指定地点进行指导。</w:t>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C.</w:t>
            </w:r>
            <w:r>
              <w:rPr>
                <w:rFonts w:hint="eastAsia" w:ascii="仿宋" w:hAnsi="仿宋" w:eastAsia="仿宋" w:cs="仿宋"/>
                <w:color w:val="auto"/>
                <w:sz w:val="24"/>
                <w:highlight w:val="none"/>
              </w:rPr>
              <w:t>质保期内每年不低于一次的上门检测并出具运行质量报告</w:t>
            </w:r>
            <w:r>
              <w:rPr>
                <w:rFonts w:hint="eastAsia" w:ascii="仿宋" w:hAnsi="仿宋" w:eastAsia="仿宋" w:cs="仿宋"/>
                <w:color w:val="auto"/>
                <w:sz w:val="24"/>
                <w:highlight w:val="none"/>
                <w:lang w:eastAsia="zh-CN"/>
              </w:rPr>
              <w:t>。</w:t>
            </w:r>
          </w:p>
          <w:p>
            <w:pPr>
              <w:rPr>
                <w:rFonts w:hint="eastAsia" w:ascii="仿宋" w:hAnsi="仿宋" w:eastAsia="仿宋" w:cs="仿宋"/>
                <w:color w:val="auto"/>
                <w:highlight w:val="none"/>
                <w:lang w:val="en-US" w:eastAsia="zh-CN"/>
              </w:rPr>
            </w:pPr>
            <w:r>
              <w:rPr>
                <w:rFonts w:hint="eastAsia" w:ascii="仿宋" w:hAnsi="仿宋" w:eastAsia="仿宋" w:cs="仿宋"/>
                <w:color w:val="auto"/>
                <w:sz w:val="24"/>
                <w:highlight w:val="none"/>
                <w:lang w:val="en-US" w:eastAsia="zh-CN"/>
              </w:rPr>
              <w:t>D.</w:t>
            </w:r>
            <w:r>
              <w:rPr>
                <w:rFonts w:hint="eastAsia" w:ascii="仿宋" w:hAnsi="仿宋" w:eastAsia="仿宋" w:cs="仿宋"/>
                <w:color w:val="auto"/>
                <w:sz w:val="24"/>
                <w:highlight w:val="none"/>
              </w:rPr>
              <w:t>签订后同后，提供生产厂家出具的售后服务承诺函，且必须保证所投产品为原厂生产的原装正品。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41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8</w:t>
            </w:r>
          </w:p>
        </w:tc>
        <w:tc>
          <w:tcPr>
            <w:tcW w:w="943"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其他要求</w:t>
            </w:r>
          </w:p>
        </w:tc>
        <w:tc>
          <w:tcPr>
            <w:tcW w:w="3644" w:type="pct"/>
            <w:tcBorders>
              <w:top w:val="single" w:color="auto" w:sz="4" w:space="0"/>
              <w:left w:val="single" w:color="auto" w:sz="4" w:space="0"/>
              <w:bottom w:val="single" w:color="auto" w:sz="4" w:space="0"/>
              <w:right w:val="single" w:color="auto" w:sz="4" w:space="0"/>
            </w:tcBorders>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1.提供由质量监督检验部门出具的有效期内的手动密集架检验报告。</w:t>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2.密集架和固定架的所有配件，必须出自一家生产企业，禁止从多家生产企业订购部件。</w:t>
            </w:r>
          </w:p>
        </w:tc>
      </w:tr>
    </w:tbl>
    <w:p>
      <w:pPr>
        <w:rPr>
          <w:rFonts w:hint="eastAsia" w:ascii="仿宋" w:hAnsi="仿宋" w:eastAsia="仿宋" w:cs="仿宋"/>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654B6F"/>
    <w:multiLevelType w:val="multilevel"/>
    <w:tmpl w:val="43654B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5950A73"/>
    <w:multiLevelType w:val="multilevel"/>
    <w:tmpl w:val="55950A73"/>
    <w:lvl w:ilvl="0" w:tentative="0">
      <w:start w:val="1"/>
      <w:numFmt w:val="decimal"/>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
    <w:nsid w:val="676141A1"/>
    <w:multiLevelType w:val="singleLevel"/>
    <w:tmpl w:val="676141A1"/>
    <w:lvl w:ilvl="0" w:tentative="0">
      <w:start w:val="1"/>
      <w:numFmt w:val="upperLetter"/>
      <w:lvlText w:val="%1."/>
      <w:lvlJc w:val="left"/>
      <w:pPr>
        <w:tabs>
          <w:tab w:val="left" w:pos="312"/>
        </w:tabs>
        <w:ind w:left="0" w:firstLine="0"/>
      </w:pPr>
    </w:lvl>
  </w:abstractNum>
  <w:num w:numId="1">
    <w:abstractNumId w:val="0"/>
  </w:num>
  <w:num w:numId="2">
    <w:abstractNumId w:val="1"/>
  </w:num>
  <w:num w:numId="3">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jNzdkYWQxMjJjY2Q2MGM0NjJiZDIzNDQ1NjI3ZDQifQ=="/>
  </w:docVars>
  <w:rsids>
    <w:rsidRoot w:val="0E590D6D"/>
    <w:rsid w:val="01F52396"/>
    <w:rsid w:val="027D3F90"/>
    <w:rsid w:val="036A73F8"/>
    <w:rsid w:val="03F2692E"/>
    <w:rsid w:val="040631BD"/>
    <w:rsid w:val="04A11382"/>
    <w:rsid w:val="0B44057F"/>
    <w:rsid w:val="0BA85311"/>
    <w:rsid w:val="0D905526"/>
    <w:rsid w:val="0E590D6D"/>
    <w:rsid w:val="1176299D"/>
    <w:rsid w:val="1266076B"/>
    <w:rsid w:val="13884711"/>
    <w:rsid w:val="1610018C"/>
    <w:rsid w:val="19115344"/>
    <w:rsid w:val="1A6F1498"/>
    <w:rsid w:val="1D736ED5"/>
    <w:rsid w:val="215E158C"/>
    <w:rsid w:val="221D4E6E"/>
    <w:rsid w:val="22A958B8"/>
    <w:rsid w:val="23787805"/>
    <w:rsid w:val="237B71C3"/>
    <w:rsid w:val="23A9117C"/>
    <w:rsid w:val="25BE6DBA"/>
    <w:rsid w:val="26364249"/>
    <w:rsid w:val="288533BC"/>
    <w:rsid w:val="2F9643A3"/>
    <w:rsid w:val="31450658"/>
    <w:rsid w:val="327D2815"/>
    <w:rsid w:val="32C83F34"/>
    <w:rsid w:val="35DB4D7A"/>
    <w:rsid w:val="35F71995"/>
    <w:rsid w:val="36C92D50"/>
    <w:rsid w:val="36C9445B"/>
    <w:rsid w:val="373F6992"/>
    <w:rsid w:val="391E72F3"/>
    <w:rsid w:val="3CE45D0F"/>
    <w:rsid w:val="3D2C1389"/>
    <w:rsid w:val="3DAC6EBC"/>
    <w:rsid w:val="3F2B2F30"/>
    <w:rsid w:val="40C47335"/>
    <w:rsid w:val="432961D9"/>
    <w:rsid w:val="44652DA3"/>
    <w:rsid w:val="480B7C1E"/>
    <w:rsid w:val="480C6249"/>
    <w:rsid w:val="499F1CC8"/>
    <w:rsid w:val="4AF26946"/>
    <w:rsid w:val="4C123BC1"/>
    <w:rsid w:val="4C735712"/>
    <w:rsid w:val="4D6B62F3"/>
    <w:rsid w:val="505E5F1E"/>
    <w:rsid w:val="506659D1"/>
    <w:rsid w:val="50886693"/>
    <w:rsid w:val="51CE37FF"/>
    <w:rsid w:val="520C225F"/>
    <w:rsid w:val="527D1433"/>
    <w:rsid w:val="530F6199"/>
    <w:rsid w:val="5599706B"/>
    <w:rsid w:val="587A1889"/>
    <w:rsid w:val="58824B97"/>
    <w:rsid w:val="5B21436C"/>
    <w:rsid w:val="5C26103D"/>
    <w:rsid w:val="5FB564F4"/>
    <w:rsid w:val="61AC26EE"/>
    <w:rsid w:val="61C51B91"/>
    <w:rsid w:val="61E16B3A"/>
    <w:rsid w:val="63802CF2"/>
    <w:rsid w:val="64586F5E"/>
    <w:rsid w:val="67DF7DFB"/>
    <w:rsid w:val="687A627A"/>
    <w:rsid w:val="6A39749F"/>
    <w:rsid w:val="6A5238DC"/>
    <w:rsid w:val="6BBF434E"/>
    <w:rsid w:val="71D56013"/>
    <w:rsid w:val="74D87943"/>
    <w:rsid w:val="75AB0F4A"/>
    <w:rsid w:val="773B2DE7"/>
    <w:rsid w:val="788038E4"/>
    <w:rsid w:val="7A19516C"/>
    <w:rsid w:val="7A99617D"/>
    <w:rsid w:val="7B08754D"/>
    <w:rsid w:val="7BCE469A"/>
    <w:rsid w:val="7C760152"/>
    <w:rsid w:val="7CA62AE1"/>
    <w:rsid w:val="7D4D3D66"/>
    <w:rsid w:val="7E1273A5"/>
    <w:rsid w:val="7E6567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qForma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2023-09-21T01:47:00Z</dcterms:created>
  <dc:creator>回不去的Cr</dc:creator>
  <cp:lastModifiedBy>回不去的Cr</cp:lastModifiedBy>
  <dcterms:modified xsi:type="dcterms:W3CDTF">2023-09-21T02:27:07Z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90739EA738CB4FB5BCDDA7B0EDC32FCB_11</vt:lpwstr>
  </property>
</Properties>
</file>